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EA1C" w14:textId="5F168A91" w:rsidR="003C21D1" w:rsidRDefault="003C21D1"/>
    <w:p w14:paraId="4427FDFF" w14:textId="69901CE0" w:rsidR="004532C6" w:rsidRDefault="004532C6" w:rsidP="009F793C">
      <w:pPr>
        <w:pStyle w:val="Heading2"/>
        <w:numPr>
          <w:ilvl w:val="0"/>
          <w:numId w:val="0"/>
        </w:numPr>
        <w:ind w:left="357" w:hanging="357"/>
        <w:jc w:val="center"/>
        <w:rPr>
          <w:sz w:val="28"/>
          <w:szCs w:val="32"/>
        </w:rPr>
      </w:pPr>
      <w:r w:rsidRPr="004532C6">
        <w:rPr>
          <w:sz w:val="28"/>
          <w:szCs w:val="32"/>
        </w:rPr>
        <w:t>Amiodarone for patients within adult services</w:t>
      </w:r>
    </w:p>
    <w:p w14:paraId="30265216" w14:textId="77777777" w:rsidR="00C11A23" w:rsidRDefault="00C11A23" w:rsidP="00C11A23">
      <w:pPr>
        <w:rPr>
          <w:rFonts w:cs="Arial"/>
        </w:rPr>
      </w:pPr>
    </w:p>
    <w:tbl>
      <w:tblPr>
        <w:tblStyle w:val="TableGrid"/>
        <w:tblW w:w="10485" w:type="dxa"/>
        <w:tblLook w:val="04A0" w:firstRow="1" w:lastRow="0" w:firstColumn="1" w:lastColumn="0" w:noHBand="0" w:noVBand="1"/>
      </w:tblPr>
      <w:tblGrid>
        <w:gridCol w:w="1172"/>
        <w:gridCol w:w="1684"/>
        <w:gridCol w:w="5644"/>
        <w:gridCol w:w="1985"/>
      </w:tblGrid>
      <w:tr w:rsidR="00C11A23" w:rsidRPr="00812579" w14:paraId="7D23BE24" w14:textId="77777777" w:rsidTr="008D7A80">
        <w:tc>
          <w:tcPr>
            <w:tcW w:w="1172" w:type="dxa"/>
          </w:tcPr>
          <w:p w14:paraId="4927EC16" w14:textId="77777777" w:rsidR="00C11A23" w:rsidRPr="00812579" w:rsidRDefault="00C11A23" w:rsidP="008D7A80">
            <w:pPr>
              <w:rPr>
                <w:rFonts w:cs="Arial"/>
                <w:b/>
                <w:bCs/>
              </w:rPr>
            </w:pPr>
            <w:r w:rsidRPr="00812579">
              <w:rPr>
                <w:rFonts w:cs="Arial"/>
                <w:b/>
                <w:bCs/>
              </w:rPr>
              <w:t>Version</w:t>
            </w:r>
          </w:p>
        </w:tc>
        <w:tc>
          <w:tcPr>
            <w:tcW w:w="1684" w:type="dxa"/>
          </w:tcPr>
          <w:p w14:paraId="1B98D685" w14:textId="77777777" w:rsidR="00C11A23" w:rsidRPr="00812579" w:rsidRDefault="00C11A23" w:rsidP="008D7A80">
            <w:pPr>
              <w:rPr>
                <w:rFonts w:cs="Arial"/>
                <w:b/>
                <w:bCs/>
              </w:rPr>
            </w:pPr>
            <w:r w:rsidRPr="00812579">
              <w:rPr>
                <w:rFonts w:cs="Arial"/>
                <w:b/>
                <w:bCs/>
              </w:rPr>
              <w:t>Date published</w:t>
            </w:r>
          </w:p>
        </w:tc>
        <w:tc>
          <w:tcPr>
            <w:tcW w:w="5644" w:type="dxa"/>
          </w:tcPr>
          <w:p w14:paraId="516A6D94" w14:textId="77777777" w:rsidR="00C11A23" w:rsidRPr="00812579" w:rsidRDefault="00C11A23" w:rsidP="008D7A80">
            <w:pPr>
              <w:rPr>
                <w:rFonts w:cs="Arial"/>
                <w:b/>
                <w:bCs/>
              </w:rPr>
            </w:pPr>
            <w:r w:rsidRPr="00812579">
              <w:rPr>
                <w:rFonts w:cs="Arial"/>
                <w:b/>
                <w:bCs/>
              </w:rPr>
              <w:t>Changes</w:t>
            </w:r>
            <w:r>
              <w:rPr>
                <w:rFonts w:cs="Arial"/>
                <w:b/>
                <w:bCs/>
              </w:rPr>
              <w:t xml:space="preserve"> since previous version</w:t>
            </w:r>
          </w:p>
        </w:tc>
        <w:tc>
          <w:tcPr>
            <w:tcW w:w="1985" w:type="dxa"/>
          </w:tcPr>
          <w:p w14:paraId="7AFAA89E" w14:textId="77777777" w:rsidR="00C11A23" w:rsidRPr="00812579" w:rsidRDefault="00C11A23" w:rsidP="008D7A80">
            <w:pPr>
              <w:rPr>
                <w:rFonts w:cs="Arial"/>
                <w:b/>
                <w:bCs/>
              </w:rPr>
            </w:pPr>
            <w:r>
              <w:rPr>
                <w:rFonts w:cs="Arial"/>
                <w:b/>
                <w:bCs/>
              </w:rPr>
              <w:t>Planned review date</w:t>
            </w:r>
          </w:p>
        </w:tc>
      </w:tr>
      <w:tr w:rsidR="003E6C58" w:rsidRPr="00812579" w14:paraId="697718D6" w14:textId="77777777" w:rsidTr="00E73AA2">
        <w:tc>
          <w:tcPr>
            <w:tcW w:w="1172" w:type="dxa"/>
          </w:tcPr>
          <w:p w14:paraId="16AD52A9" w14:textId="77777777" w:rsidR="003E6C58" w:rsidRPr="00C91620" w:rsidRDefault="003E6C58" w:rsidP="00E73AA2">
            <w:pPr>
              <w:rPr>
                <w:rFonts w:cs="Arial"/>
              </w:rPr>
            </w:pPr>
            <w:r w:rsidRPr="00C91620">
              <w:rPr>
                <w:rFonts w:cs="Arial"/>
              </w:rPr>
              <w:t>NENC v</w:t>
            </w:r>
            <w:r>
              <w:rPr>
                <w:rFonts w:cs="Arial"/>
              </w:rPr>
              <w:t>3</w:t>
            </w:r>
            <w:r w:rsidRPr="00C91620">
              <w:rPr>
                <w:rFonts w:cs="Arial"/>
              </w:rPr>
              <w:t>.0</w:t>
            </w:r>
          </w:p>
        </w:tc>
        <w:tc>
          <w:tcPr>
            <w:tcW w:w="1684" w:type="dxa"/>
          </w:tcPr>
          <w:p w14:paraId="1248E28E" w14:textId="3C642E20" w:rsidR="003E6C58" w:rsidRPr="00C11A23" w:rsidRDefault="008D1B76" w:rsidP="00E73AA2">
            <w:pPr>
              <w:rPr>
                <w:rFonts w:cs="Arial"/>
              </w:rPr>
            </w:pPr>
            <w:r>
              <w:rPr>
                <w:rFonts w:cs="Arial"/>
              </w:rPr>
              <w:t>2</w:t>
            </w:r>
            <w:r w:rsidR="004F7AC7">
              <w:rPr>
                <w:rFonts w:cs="Arial"/>
              </w:rPr>
              <w:t>6</w:t>
            </w:r>
            <w:r w:rsidRPr="008D1B76">
              <w:rPr>
                <w:rFonts w:cs="Arial"/>
                <w:vertAlign w:val="superscript"/>
              </w:rPr>
              <w:t>th</w:t>
            </w:r>
            <w:r>
              <w:rPr>
                <w:rFonts w:cs="Arial"/>
              </w:rPr>
              <w:t xml:space="preserve"> March 2026</w:t>
            </w:r>
          </w:p>
        </w:tc>
        <w:tc>
          <w:tcPr>
            <w:tcW w:w="5644" w:type="dxa"/>
          </w:tcPr>
          <w:p w14:paraId="5C598656" w14:textId="77777777" w:rsidR="00FD0974" w:rsidRDefault="003E6C58" w:rsidP="001807FA">
            <w:pPr>
              <w:rPr>
                <w:rFonts w:cs="Arial"/>
              </w:rPr>
            </w:pPr>
            <w:r w:rsidRPr="00C91620">
              <w:rPr>
                <w:rFonts w:cs="Arial"/>
              </w:rPr>
              <w:t>Adapted from RDTC v</w:t>
            </w:r>
            <w:r>
              <w:rPr>
                <w:rFonts w:cs="Arial"/>
              </w:rPr>
              <w:t>2</w:t>
            </w:r>
            <w:r w:rsidRPr="00C91620">
              <w:rPr>
                <w:rFonts w:cs="Arial"/>
              </w:rPr>
              <w:t>.0 published December 202</w:t>
            </w:r>
            <w:r>
              <w:rPr>
                <w:rFonts w:cs="Arial"/>
              </w:rPr>
              <w:t>5</w:t>
            </w:r>
            <w:r w:rsidRPr="00C91620">
              <w:rPr>
                <w:rFonts w:cs="Arial"/>
              </w:rPr>
              <w:t xml:space="preserve"> (available at </w:t>
            </w:r>
            <w:hyperlink r:id="rId12" w:history="1">
              <w:r w:rsidRPr="00C91620">
                <w:rPr>
                  <w:rStyle w:val="Hyperlink"/>
                  <w:rFonts w:cs="Arial"/>
                </w:rPr>
                <w:t>https://rdtc.nhs.uk/prescribing-analysis-report/shared-care-protocol/</w:t>
              </w:r>
            </w:hyperlink>
            <w:r w:rsidRPr="00C91620">
              <w:rPr>
                <w:rFonts w:cs="Arial"/>
              </w:rPr>
              <w:t>)</w:t>
            </w:r>
            <w:r w:rsidR="001807FA">
              <w:rPr>
                <w:rFonts w:cs="Arial"/>
              </w:rPr>
              <w:t xml:space="preserve"> </w:t>
            </w:r>
            <w:r>
              <w:rPr>
                <w:rFonts w:cs="Arial"/>
              </w:rPr>
              <w:t xml:space="preserve">and replaces NENC v2.0 </w:t>
            </w:r>
          </w:p>
          <w:p w14:paraId="7E709604" w14:textId="77777777" w:rsidR="00C1555F" w:rsidRPr="00C1555F" w:rsidRDefault="00C1555F" w:rsidP="00C1555F">
            <w:pPr>
              <w:spacing w:line="256" w:lineRule="auto"/>
              <w:rPr>
                <w:rFonts w:eastAsia="Calibri" w:cs="Arial"/>
                <w:b/>
                <w:bCs/>
              </w:rPr>
            </w:pPr>
            <w:r w:rsidRPr="00C1555F">
              <w:rPr>
                <w:rFonts w:eastAsia="Calibri" w:cs="Arial"/>
                <w:b/>
                <w:bCs/>
              </w:rPr>
              <w:t>Changes/adaptations:</w:t>
            </w:r>
          </w:p>
          <w:p w14:paraId="4EF1A48D" w14:textId="77777777" w:rsidR="00C1555F" w:rsidRDefault="00C1555F" w:rsidP="00C1555F">
            <w:pPr>
              <w:pStyle w:val="ListParagraph"/>
              <w:numPr>
                <w:ilvl w:val="0"/>
                <w:numId w:val="49"/>
              </w:numPr>
              <w:rPr>
                <w:rFonts w:cs="Arial"/>
              </w:rPr>
            </w:pPr>
            <w:r>
              <w:rPr>
                <w:rFonts w:cs="Arial"/>
              </w:rPr>
              <w:t>Section 1 – reworded to better reflect NHSE guidance.</w:t>
            </w:r>
          </w:p>
          <w:p w14:paraId="2EA56C81" w14:textId="77777777" w:rsidR="00C1555F" w:rsidRDefault="00C1555F" w:rsidP="00C1555F">
            <w:pPr>
              <w:pStyle w:val="ListParagraph"/>
              <w:numPr>
                <w:ilvl w:val="0"/>
                <w:numId w:val="49"/>
              </w:numPr>
              <w:rPr>
                <w:rFonts w:cs="Arial"/>
              </w:rPr>
            </w:pPr>
            <w:r>
              <w:rPr>
                <w:rFonts w:cs="Arial"/>
              </w:rPr>
              <w:t>Section 9 – added against drugs that lower heart rate that combined use only under the recommendation and supervision of a specialist.</w:t>
            </w:r>
          </w:p>
          <w:p w14:paraId="35BEE93D" w14:textId="6D0B5211" w:rsidR="00C1555F" w:rsidRDefault="00C1555F" w:rsidP="00C1555F">
            <w:pPr>
              <w:pStyle w:val="ListParagraph"/>
              <w:numPr>
                <w:ilvl w:val="0"/>
                <w:numId w:val="49"/>
              </w:numPr>
              <w:rPr>
                <w:rFonts w:cs="Arial"/>
              </w:rPr>
            </w:pPr>
            <w:r>
              <w:rPr>
                <w:rFonts w:cs="Arial"/>
              </w:rPr>
              <w:t>Section 9 – added systemic corticosteroids to drugs that cause hypokalaemia</w:t>
            </w:r>
          </w:p>
          <w:p w14:paraId="2DF2C805" w14:textId="206FDDFE" w:rsidR="00C1555F" w:rsidRDefault="00C1555F" w:rsidP="00C1555F">
            <w:pPr>
              <w:pStyle w:val="ListParagraph"/>
              <w:numPr>
                <w:ilvl w:val="0"/>
                <w:numId w:val="49"/>
              </w:numPr>
              <w:rPr>
                <w:rFonts w:cs="Arial"/>
              </w:rPr>
            </w:pPr>
            <w:r>
              <w:rPr>
                <w:rFonts w:cs="Arial"/>
              </w:rPr>
              <w:t>Section 9 – added PPIs to drugs that cause hypomagnesaemia and remove</w:t>
            </w:r>
            <w:r w:rsidR="007E0EAC">
              <w:rPr>
                <w:rFonts w:cs="Arial"/>
              </w:rPr>
              <w:t>d</w:t>
            </w:r>
            <w:r>
              <w:rPr>
                <w:rFonts w:cs="Arial"/>
              </w:rPr>
              <w:t xml:space="preserve"> systemic corticosteroids.</w:t>
            </w:r>
          </w:p>
          <w:p w14:paraId="4D7FCD29" w14:textId="0D6198F9" w:rsidR="00C1555F" w:rsidRPr="00C1555F" w:rsidRDefault="00C1555F" w:rsidP="00C1555F">
            <w:pPr>
              <w:pStyle w:val="ListParagraph"/>
              <w:numPr>
                <w:ilvl w:val="0"/>
                <w:numId w:val="49"/>
              </w:numPr>
              <w:rPr>
                <w:rFonts w:cs="Arial"/>
              </w:rPr>
            </w:pPr>
            <w:r>
              <w:rPr>
                <w:rFonts w:cs="Arial"/>
              </w:rPr>
              <w:t>Section 9 – removed cau</w:t>
            </w:r>
            <w:r w:rsidR="007E0EAC">
              <w:rPr>
                <w:rFonts w:cs="Arial"/>
              </w:rPr>
              <w:t>t</w:t>
            </w:r>
            <w:r>
              <w:rPr>
                <w:rFonts w:cs="Arial"/>
              </w:rPr>
              <w:t>ion in patients undergoing general anaesthesia or receiving high dose O2 therapy.</w:t>
            </w:r>
          </w:p>
        </w:tc>
        <w:tc>
          <w:tcPr>
            <w:tcW w:w="1985" w:type="dxa"/>
          </w:tcPr>
          <w:p w14:paraId="3AEE77CF" w14:textId="6CA9942F" w:rsidR="003E6C58" w:rsidRPr="00C91620" w:rsidRDefault="008D1B76" w:rsidP="00E73AA2">
            <w:pPr>
              <w:rPr>
                <w:rFonts w:cs="Arial"/>
              </w:rPr>
            </w:pPr>
            <w:r>
              <w:rPr>
                <w:rFonts w:cs="Arial"/>
              </w:rPr>
              <w:t>Mar 2028</w:t>
            </w:r>
          </w:p>
        </w:tc>
      </w:tr>
      <w:tr w:rsidR="00C11A23" w:rsidRPr="00812579" w14:paraId="2CBA395D" w14:textId="77777777" w:rsidTr="008D7A80">
        <w:tc>
          <w:tcPr>
            <w:tcW w:w="1172" w:type="dxa"/>
          </w:tcPr>
          <w:p w14:paraId="5F4257F3" w14:textId="3C8B697B" w:rsidR="00C11A23" w:rsidRPr="00C91620" w:rsidRDefault="00C11A23" w:rsidP="008D7A80">
            <w:pPr>
              <w:rPr>
                <w:rFonts w:cs="Arial"/>
              </w:rPr>
            </w:pPr>
            <w:r w:rsidRPr="00C91620">
              <w:rPr>
                <w:rFonts w:cs="Arial"/>
              </w:rPr>
              <w:t>NENC v</w:t>
            </w:r>
            <w:r>
              <w:rPr>
                <w:rFonts w:cs="Arial"/>
              </w:rPr>
              <w:t>2</w:t>
            </w:r>
            <w:r w:rsidRPr="00C91620">
              <w:rPr>
                <w:rFonts w:cs="Arial"/>
              </w:rPr>
              <w:t>.0</w:t>
            </w:r>
          </w:p>
        </w:tc>
        <w:tc>
          <w:tcPr>
            <w:tcW w:w="1684" w:type="dxa"/>
          </w:tcPr>
          <w:p w14:paraId="0F34DC46" w14:textId="25397A93" w:rsidR="00C11A23" w:rsidRPr="00C11A23" w:rsidRDefault="00C11A23" w:rsidP="008D7A80">
            <w:pPr>
              <w:rPr>
                <w:rFonts w:cs="Arial"/>
              </w:rPr>
            </w:pPr>
            <w:r w:rsidRPr="00C11A23">
              <w:rPr>
                <w:rFonts w:cs="Arial"/>
              </w:rPr>
              <w:t>12</w:t>
            </w:r>
            <w:r w:rsidRPr="00C11A23">
              <w:rPr>
                <w:rFonts w:cs="Arial"/>
                <w:vertAlign w:val="superscript"/>
              </w:rPr>
              <w:t>th</w:t>
            </w:r>
            <w:r w:rsidRPr="00C11A23">
              <w:rPr>
                <w:rFonts w:cs="Arial"/>
              </w:rPr>
              <w:t xml:space="preserve"> February 2024</w:t>
            </w:r>
          </w:p>
        </w:tc>
        <w:tc>
          <w:tcPr>
            <w:tcW w:w="5644" w:type="dxa"/>
          </w:tcPr>
          <w:p w14:paraId="38A7E718" w14:textId="4141E962" w:rsidR="00C11A23" w:rsidRPr="00C91620" w:rsidRDefault="00C11A23" w:rsidP="00C11A23">
            <w:pPr>
              <w:rPr>
                <w:rFonts w:cs="Arial"/>
              </w:rPr>
            </w:pPr>
            <w:r w:rsidRPr="00C91620">
              <w:rPr>
                <w:rFonts w:cs="Arial"/>
              </w:rPr>
              <w:t>Adapted from RDTC v1.0 published 7</w:t>
            </w:r>
            <w:r w:rsidRPr="00C91620">
              <w:rPr>
                <w:rFonts w:cs="Arial"/>
                <w:vertAlign w:val="superscript"/>
              </w:rPr>
              <w:t>th</w:t>
            </w:r>
            <w:r w:rsidRPr="00C91620">
              <w:rPr>
                <w:rFonts w:cs="Arial"/>
              </w:rPr>
              <w:t xml:space="preserve"> December 2023 (available at </w:t>
            </w:r>
            <w:hyperlink r:id="rId13" w:history="1">
              <w:r w:rsidRPr="00C91620">
                <w:rPr>
                  <w:rStyle w:val="Hyperlink"/>
                  <w:rFonts w:cs="Arial"/>
                </w:rPr>
                <w:t>https://rdtc.nhs.uk/prescribing-analysis-report/shared-care-protocol/</w:t>
              </w:r>
            </w:hyperlink>
            <w:r w:rsidRPr="00C91620">
              <w:rPr>
                <w:rFonts w:cs="Arial"/>
              </w:rPr>
              <w:t xml:space="preserve">) </w:t>
            </w:r>
            <w:r w:rsidR="00FD0974">
              <w:rPr>
                <w:rFonts w:cs="Arial"/>
              </w:rPr>
              <w:t>a</w:t>
            </w:r>
            <w:r>
              <w:rPr>
                <w:rFonts w:cs="Arial"/>
              </w:rPr>
              <w:t>nd replaces NENC v1.1</w:t>
            </w:r>
          </w:p>
        </w:tc>
        <w:tc>
          <w:tcPr>
            <w:tcW w:w="1985" w:type="dxa"/>
          </w:tcPr>
          <w:p w14:paraId="1C596667" w14:textId="534AF3EE" w:rsidR="00C11A23" w:rsidRPr="00C91620" w:rsidRDefault="004F04D7" w:rsidP="008D7A80">
            <w:pPr>
              <w:rPr>
                <w:rFonts w:cs="Arial"/>
              </w:rPr>
            </w:pPr>
            <w:r>
              <w:rPr>
                <w:rFonts w:cs="Arial"/>
              </w:rPr>
              <w:t>Mar 2026</w:t>
            </w:r>
          </w:p>
        </w:tc>
      </w:tr>
    </w:tbl>
    <w:p w14:paraId="7F37643F" w14:textId="77777777" w:rsidR="00C11A23" w:rsidRDefault="00C11A23" w:rsidP="00C11A23">
      <w:pPr>
        <w:rPr>
          <w:rFonts w:cs="Arial"/>
        </w:rPr>
      </w:pPr>
    </w:p>
    <w:p w14:paraId="0B0DBF53" w14:textId="77777777" w:rsidR="00C11A23" w:rsidRDefault="00C11A23" w:rsidP="00C11A23">
      <w:pPr>
        <w:rPr>
          <w:rFonts w:cs="Arial"/>
        </w:rPr>
      </w:pPr>
    </w:p>
    <w:p w14:paraId="29717F23" w14:textId="77777777" w:rsidR="00C11A23" w:rsidRDefault="00C11A23" w:rsidP="00C11A23">
      <w:pPr>
        <w:rPr>
          <w:rFonts w:cs="Arial"/>
          <w:sz w:val="24"/>
          <w:szCs w:val="24"/>
        </w:rPr>
      </w:pPr>
      <w:r w:rsidRPr="005A633C">
        <w:rPr>
          <w:rFonts w:cs="Arial"/>
          <w:sz w:val="24"/>
          <w:szCs w:val="24"/>
        </w:rPr>
        <w:t xml:space="preserve">This document is intended for use by </w:t>
      </w:r>
      <w:r>
        <w:rPr>
          <w:rFonts w:cs="Arial"/>
          <w:sz w:val="24"/>
          <w:szCs w:val="24"/>
        </w:rPr>
        <w:t>NHS</w:t>
      </w:r>
      <w:r w:rsidRPr="005A633C">
        <w:rPr>
          <w:rFonts w:cs="Arial"/>
          <w:sz w:val="24"/>
          <w:szCs w:val="24"/>
        </w:rPr>
        <w:t xml:space="preserve"> healthcare professionals and cannot be used for commercial or marketing purposes</w:t>
      </w:r>
      <w:r>
        <w:rPr>
          <w:rFonts w:cs="Arial"/>
          <w:sz w:val="24"/>
          <w:szCs w:val="24"/>
        </w:rPr>
        <w:t>.</w:t>
      </w:r>
    </w:p>
    <w:p w14:paraId="5EF6DF3C" w14:textId="77777777" w:rsidR="00C11A23" w:rsidRPr="00C11A23" w:rsidRDefault="00C11A23" w:rsidP="00C11A23"/>
    <w:p w14:paraId="4E87CD01" w14:textId="77777777" w:rsidR="00812579" w:rsidRDefault="00812579">
      <w:pPr>
        <w:rPr>
          <w:rFonts w:cs="Arial"/>
        </w:rPr>
      </w:pPr>
    </w:p>
    <w:p w14:paraId="56B90C64" w14:textId="30EBE57E" w:rsidR="006179D7" w:rsidRDefault="006179D7" w:rsidP="00D13B20">
      <w:pPr>
        <w:rPr>
          <w:rFonts w:cs="Arial"/>
          <w:sz w:val="24"/>
          <w:szCs w:val="24"/>
        </w:rPr>
      </w:pPr>
      <w:r>
        <w:rPr>
          <w:rFonts w:cs="Arial"/>
          <w:sz w:val="24"/>
          <w:szCs w:val="24"/>
        </w:rPr>
        <w:br w:type="page"/>
      </w:r>
    </w:p>
    <w:p w14:paraId="2EBD1324" w14:textId="007BFF97" w:rsidR="00F321FC" w:rsidRPr="00812579" w:rsidRDefault="00F321FC">
      <w:pPr>
        <w:rPr>
          <w:rFonts w:cs="Arial"/>
          <w:b/>
          <w:bCs/>
          <w:sz w:val="24"/>
          <w:szCs w:val="24"/>
        </w:rPr>
      </w:pPr>
      <w:r w:rsidRPr="00812579">
        <w:rPr>
          <w:rFonts w:cs="Arial"/>
          <w:b/>
          <w:bCs/>
          <w:sz w:val="24"/>
          <w:szCs w:val="24"/>
        </w:rPr>
        <w:lastRenderedPageBreak/>
        <w:t>Shared Care Protocol</w:t>
      </w:r>
    </w:p>
    <w:p w14:paraId="0E304D85" w14:textId="64178DD3" w:rsidR="00F321FC" w:rsidRPr="00812579" w:rsidRDefault="00946787" w:rsidP="004532C6">
      <w:pPr>
        <w:pStyle w:val="Heading2"/>
        <w:numPr>
          <w:ilvl w:val="0"/>
          <w:numId w:val="0"/>
        </w:numPr>
        <w:ind w:left="357" w:hanging="357"/>
      </w:pPr>
      <w:r>
        <w:t>Amiodarone</w:t>
      </w:r>
      <w:r w:rsidR="00F321FC" w:rsidRPr="00812579">
        <w:t xml:space="preserve"> for patients within adult services</w:t>
      </w:r>
    </w:p>
    <w:tbl>
      <w:tblPr>
        <w:tblStyle w:val="TableGridLight1"/>
        <w:tblW w:w="0" w:type="auto"/>
        <w:tblInd w:w="-5" w:type="dxa"/>
        <w:tblCellMar>
          <w:top w:w="57" w:type="dxa"/>
          <w:bottom w:w="57" w:type="dxa"/>
        </w:tblCellMar>
        <w:tblLook w:val="0480" w:firstRow="0" w:lastRow="0" w:firstColumn="1" w:lastColumn="0" w:noHBand="0" w:noVBand="1"/>
      </w:tblPr>
      <w:tblGrid>
        <w:gridCol w:w="2199"/>
        <w:gridCol w:w="8262"/>
      </w:tblGrid>
      <w:tr w:rsidR="00C72861" w:rsidRPr="00F321FC" w14:paraId="3FF50130" w14:textId="77777777" w:rsidTr="0051526F">
        <w:tc>
          <w:tcPr>
            <w:tcW w:w="2199" w:type="dxa"/>
            <w:tcBorders>
              <w:top w:val="single" w:sz="4" w:space="0" w:color="BFBFBF" w:themeColor="background1" w:themeShade="BF"/>
            </w:tcBorders>
          </w:tcPr>
          <w:p w14:paraId="60850D61" w14:textId="74515AEE" w:rsidR="00C72861" w:rsidRPr="00F321FC" w:rsidRDefault="00721E7A" w:rsidP="00413F90">
            <w:pPr>
              <w:pStyle w:val="Heading2"/>
              <w:rPr>
                <w:rFonts w:cs="Arial"/>
              </w:rPr>
            </w:pPr>
            <w:bookmarkStart w:id="0" w:name="one_background"/>
            <w:bookmarkStart w:id="1" w:name="_Toc149231785"/>
            <w:r w:rsidRPr="00F321FC">
              <w:rPr>
                <w:rFonts w:cs="Arial"/>
              </w:rPr>
              <w:t>Background</w:t>
            </w:r>
            <w:bookmarkEnd w:id="0"/>
            <w:bookmarkEnd w:id="1"/>
          </w:p>
        </w:tc>
        <w:tc>
          <w:tcPr>
            <w:tcW w:w="8262" w:type="dxa"/>
            <w:tcBorders>
              <w:top w:val="single" w:sz="4" w:space="0" w:color="BFBFBF" w:themeColor="background1" w:themeShade="BF"/>
            </w:tcBorders>
          </w:tcPr>
          <w:p w14:paraId="3B7DD1EF" w14:textId="6B8ECEA8" w:rsidR="00946787" w:rsidRPr="00946787" w:rsidRDefault="00946787" w:rsidP="00946787">
            <w:pPr>
              <w:rPr>
                <w:rFonts w:cs="Arial"/>
              </w:rPr>
            </w:pPr>
            <w:r w:rsidRPr="00946787">
              <w:rPr>
                <w:rFonts w:cs="Arial"/>
              </w:rPr>
              <w:t xml:space="preserve">Amiodarone is used in the treatment of arrhythmias, as detailed in </w:t>
            </w:r>
            <w:hyperlink w:anchor="two_indications" w:history="1">
              <w:r w:rsidRPr="00946787">
                <w:rPr>
                  <w:rStyle w:val="Hyperlink"/>
                  <w:rFonts w:cs="Arial"/>
                </w:rPr>
                <w:t>section 2</w:t>
              </w:r>
            </w:hyperlink>
            <w:r w:rsidRPr="00946787">
              <w:rPr>
                <w:rFonts w:cs="Arial"/>
              </w:rPr>
              <w:t xml:space="preserve">.  It has an important place in the treatment of severe cardiac rhythm disorders where other treatments either cannot be used or have failed. Amiodarone has potentially serious adverse effects and its use requires regular monitoring.  </w:t>
            </w:r>
          </w:p>
          <w:p w14:paraId="2F818141" w14:textId="7893CD0E" w:rsidR="001A23AA" w:rsidRPr="001A23AA" w:rsidRDefault="001A23AA" w:rsidP="001A23AA">
            <w:pPr>
              <w:rPr>
                <w:rFonts w:cs="Arial"/>
              </w:rPr>
            </w:pPr>
            <w:r w:rsidRPr="001A23AA">
              <w:rPr>
                <w:rFonts w:cs="Arial"/>
              </w:rPr>
              <w:t xml:space="preserve">Due to the significant safety concerns, NHS England (NHSE) </w:t>
            </w:r>
            <w:hyperlink r:id="rId14" w:history="1">
              <w:r w:rsidRPr="00946787">
                <w:rPr>
                  <w:rStyle w:val="Hyperlink"/>
                  <w:rFonts w:cs="Arial"/>
                </w:rPr>
                <w:t>guidance</w:t>
              </w:r>
            </w:hyperlink>
            <w:r w:rsidRPr="001A23AA">
              <w:rPr>
                <w:rFonts w:cs="Arial"/>
              </w:rPr>
              <w:t xml:space="preserve"> advises patients who are on long term amiodarone therapy should be managed under a shared care arrangement with secondary care specialists. Where existing patients taking amiodarone are not currently under shared care, it is recommended that these patients be referred back to cardiology to ensure that prescribing remains safe and appropriate and a shared care arrangement is introduced.</w:t>
            </w:r>
          </w:p>
          <w:p w14:paraId="2B678F67" w14:textId="040F913D" w:rsidR="001A23AA" w:rsidRPr="00946787" w:rsidRDefault="001A23AA" w:rsidP="001A23AA">
            <w:pPr>
              <w:rPr>
                <w:rFonts w:cs="Arial"/>
              </w:rPr>
            </w:pPr>
            <w:r w:rsidRPr="001A23AA">
              <w:rPr>
                <w:rFonts w:cs="Arial"/>
              </w:rPr>
              <w:t xml:space="preserve">For atrial fibrillation, Amiodarone should be prescribed in line with NICE clinical guidance </w:t>
            </w:r>
            <w:hyperlink r:id="rId15" w:history="1">
              <w:r w:rsidRPr="001A23AA">
                <w:rPr>
                  <w:rStyle w:val="Hyperlink"/>
                  <w:rFonts w:cs="Arial"/>
                </w:rPr>
                <w:t>Atrial fibrillation: NG196</w:t>
              </w:r>
            </w:hyperlink>
            <w:r w:rsidRPr="001A23AA">
              <w:rPr>
                <w:rFonts w:cs="Arial"/>
              </w:rPr>
              <w:t>, which advises “do not offer amiodarone for long-term rate control [of AF]</w:t>
            </w:r>
            <w:r>
              <w:rPr>
                <w:rFonts w:cs="Arial"/>
              </w:rPr>
              <w:t>.</w:t>
            </w:r>
            <w:r w:rsidRPr="001A23AA">
              <w:rPr>
                <w:rFonts w:cs="Arial"/>
              </w:rPr>
              <w:t xml:space="preserve"> </w:t>
            </w:r>
            <w:r>
              <w:rPr>
                <w:rFonts w:cs="Arial"/>
              </w:rPr>
              <w:t>The NHSE guidance defines the applicable indications as suitable for patients prior and post cardioversion, and those who also have heart failure or left ventricular impairment.</w:t>
            </w:r>
          </w:p>
          <w:p w14:paraId="6B5F3EB1" w14:textId="7C1997C6" w:rsidR="0065325B" w:rsidRPr="00B87200" w:rsidRDefault="00946787" w:rsidP="00946787">
            <w:pPr>
              <w:rPr>
                <w:rFonts w:cs="Arial"/>
              </w:rPr>
            </w:pPr>
            <w:r w:rsidRPr="00946787">
              <w:rPr>
                <w:rFonts w:cs="Arial"/>
              </w:rPr>
              <w:t>This document applies to adults aged 18 and over.</w:t>
            </w:r>
          </w:p>
        </w:tc>
      </w:tr>
      <w:tr w:rsidR="00C72861" w:rsidRPr="00F321FC" w14:paraId="700AF380" w14:textId="77777777" w:rsidTr="0051526F">
        <w:tc>
          <w:tcPr>
            <w:tcW w:w="2199" w:type="dxa"/>
          </w:tcPr>
          <w:p w14:paraId="353B7610" w14:textId="421AD839" w:rsidR="00C72861" w:rsidRPr="00F321FC" w:rsidRDefault="00A93496" w:rsidP="00D31D08">
            <w:pPr>
              <w:pStyle w:val="Heading2"/>
              <w:rPr>
                <w:rFonts w:cs="Arial"/>
              </w:rPr>
            </w:pPr>
            <w:bookmarkStart w:id="2" w:name="two_indications"/>
            <w:bookmarkStart w:id="3" w:name="_Toc149231786"/>
            <w:r w:rsidRPr="00F321FC">
              <w:rPr>
                <w:rFonts w:cs="Arial"/>
              </w:rPr>
              <w:t xml:space="preserve">Licensed </w:t>
            </w:r>
            <w:r w:rsidR="00035AE8">
              <w:rPr>
                <w:rFonts w:cs="Arial"/>
              </w:rPr>
              <w:t xml:space="preserve">and agreed off-label </w:t>
            </w:r>
            <w:r w:rsidRPr="00F321FC">
              <w:rPr>
                <w:rFonts w:cs="Arial"/>
              </w:rPr>
              <w:t>indications</w:t>
            </w:r>
            <w:bookmarkEnd w:id="2"/>
            <w:bookmarkEnd w:id="3"/>
          </w:p>
        </w:tc>
        <w:tc>
          <w:tcPr>
            <w:tcW w:w="8262" w:type="dxa"/>
          </w:tcPr>
          <w:p w14:paraId="372AF8B5" w14:textId="77777777" w:rsidR="00946787" w:rsidRPr="00946787" w:rsidRDefault="00946787" w:rsidP="00946787">
            <w:pPr>
              <w:rPr>
                <w:rFonts w:cs="Arial"/>
              </w:rPr>
            </w:pPr>
            <w:r w:rsidRPr="00946787">
              <w:rPr>
                <w:rFonts w:cs="Arial"/>
              </w:rPr>
              <w:t>Licensed indications:</w:t>
            </w:r>
          </w:p>
          <w:p w14:paraId="069404C9" w14:textId="36DC3968" w:rsidR="00946787" w:rsidRPr="00946787" w:rsidRDefault="00946787" w:rsidP="00946787">
            <w:pPr>
              <w:pStyle w:val="ListParagraph"/>
              <w:numPr>
                <w:ilvl w:val="0"/>
                <w:numId w:val="26"/>
              </w:numPr>
              <w:rPr>
                <w:rFonts w:cs="Arial"/>
              </w:rPr>
            </w:pPr>
            <w:r w:rsidRPr="00946787">
              <w:rPr>
                <w:rFonts w:cs="Arial"/>
              </w:rPr>
              <w:t>Tachyarrhythmias associated with Wolff-Parkinson-White Syndrome.</w:t>
            </w:r>
          </w:p>
          <w:p w14:paraId="77884777" w14:textId="5E6388C0" w:rsidR="00946787" w:rsidRPr="00946787" w:rsidRDefault="00946787" w:rsidP="00946787">
            <w:pPr>
              <w:pStyle w:val="ListParagraph"/>
              <w:numPr>
                <w:ilvl w:val="0"/>
                <w:numId w:val="26"/>
              </w:numPr>
              <w:rPr>
                <w:rFonts w:cs="Arial"/>
              </w:rPr>
            </w:pPr>
            <w:r w:rsidRPr="00946787">
              <w:rPr>
                <w:rFonts w:cs="Arial"/>
              </w:rPr>
              <w:t>Atrial flutter fibrillation / atrial fibrillation when other drugs cannot be used.</w:t>
            </w:r>
          </w:p>
          <w:p w14:paraId="452D25AB" w14:textId="372A94DD" w:rsidR="00C72861" w:rsidRPr="00946787" w:rsidRDefault="00946787" w:rsidP="00946787">
            <w:pPr>
              <w:pStyle w:val="ListParagraph"/>
              <w:numPr>
                <w:ilvl w:val="0"/>
                <w:numId w:val="26"/>
              </w:numPr>
              <w:rPr>
                <w:rFonts w:cs="Arial"/>
              </w:rPr>
            </w:pPr>
            <w:r w:rsidRPr="00946787">
              <w:rPr>
                <w:rFonts w:cs="Arial"/>
              </w:rPr>
              <w:t xml:space="preserve">All types of tachyarrhythmias of paroxysmal nature </w:t>
            </w:r>
            <w:proofErr w:type="gramStart"/>
            <w:r w:rsidRPr="00946787">
              <w:rPr>
                <w:rFonts w:cs="Arial"/>
              </w:rPr>
              <w:t>including:</w:t>
            </w:r>
            <w:proofErr w:type="gramEnd"/>
            <w:r w:rsidRPr="00946787">
              <w:rPr>
                <w:rFonts w:cs="Arial"/>
              </w:rPr>
              <w:t xml:space="preserve"> supraventricular, nodal and ventricular tachycardias and ventricular fibrillation when other drugs cannot be used.</w:t>
            </w:r>
          </w:p>
        </w:tc>
      </w:tr>
      <w:tr w:rsidR="00C72861" w:rsidRPr="00F321FC" w14:paraId="36B1B999" w14:textId="77777777" w:rsidTr="0051526F">
        <w:tc>
          <w:tcPr>
            <w:tcW w:w="2199" w:type="dxa"/>
          </w:tcPr>
          <w:p w14:paraId="6F2C624B" w14:textId="515A3B01" w:rsidR="00C72861" w:rsidRPr="00F321FC" w:rsidRDefault="00A93496" w:rsidP="00D31D08">
            <w:pPr>
              <w:pStyle w:val="Heading2"/>
              <w:rPr>
                <w:rFonts w:cs="Arial"/>
              </w:rPr>
            </w:pPr>
            <w:bookmarkStart w:id="4" w:name="three_local_indications"/>
            <w:bookmarkStart w:id="5" w:name="_Toc149231787"/>
            <w:r w:rsidRPr="00F321FC">
              <w:rPr>
                <w:rFonts w:cs="Arial"/>
              </w:rPr>
              <w:t xml:space="preserve">Locally agreed </w:t>
            </w:r>
            <w:r w:rsidR="00EC0326">
              <w:rPr>
                <w:rFonts w:cs="Arial"/>
              </w:rPr>
              <w:t>indications</w:t>
            </w:r>
            <w:bookmarkEnd w:id="4"/>
            <w:bookmarkEnd w:id="5"/>
          </w:p>
        </w:tc>
        <w:tc>
          <w:tcPr>
            <w:tcW w:w="8262" w:type="dxa"/>
          </w:tcPr>
          <w:p w14:paraId="14C3CD90" w14:textId="1E2B81B1" w:rsidR="00C72861" w:rsidRPr="00DD4C82" w:rsidRDefault="00B33076" w:rsidP="00FB404F">
            <w:pPr>
              <w:rPr>
                <w:rFonts w:cs="Arial"/>
                <w:i/>
                <w:iCs/>
              </w:rPr>
            </w:pPr>
            <w:r w:rsidRPr="00DD4C82">
              <w:rPr>
                <w:rFonts w:eastAsia="Times New Roman" w:cs="Arial"/>
                <w:color w:val="000000"/>
                <w:lang w:val="en" w:eastAsia="en-GB"/>
              </w:rPr>
              <w:t>National scoping did not identify any additional appropriate off-label indications</w:t>
            </w:r>
            <w:r w:rsidR="00DD4C82">
              <w:rPr>
                <w:rFonts w:eastAsia="Times New Roman" w:cs="Arial"/>
                <w:color w:val="000000"/>
                <w:lang w:val="en" w:eastAsia="en-GB"/>
              </w:rPr>
              <w:t>.</w:t>
            </w:r>
          </w:p>
        </w:tc>
      </w:tr>
      <w:tr w:rsidR="00C72861" w:rsidRPr="00F321FC" w14:paraId="6823BC14" w14:textId="77777777" w:rsidTr="0051526F">
        <w:tc>
          <w:tcPr>
            <w:tcW w:w="2199" w:type="dxa"/>
          </w:tcPr>
          <w:p w14:paraId="5B29E378" w14:textId="09C1A858" w:rsidR="00C72861" w:rsidRPr="00F321FC" w:rsidRDefault="00F132AA" w:rsidP="00D31D08">
            <w:pPr>
              <w:pStyle w:val="Heading2"/>
              <w:rPr>
                <w:rFonts w:cs="Arial"/>
              </w:rPr>
            </w:pPr>
            <w:bookmarkStart w:id="6" w:name="four_dosing"/>
            <w:bookmarkStart w:id="7" w:name="_Toc149231788"/>
            <w:r w:rsidRPr="00F321FC">
              <w:rPr>
                <w:rFonts w:cs="Arial"/>
              </w:rPr>
              <w:t>Initiation and ongoing dose regime</w:t>
            </w:r>
            <w:bookmarkEnd w:id="6"/>
            <w:bookmarkEnd w:id="7"/>
          </w:p>
        </w:tc>
        <w:tc>
          <w:tcPr>
            <w:tcW w:w="8262" w:type="dxa"/>
          </w:tcPr>
          <w:p w14:paraId="7AB5F9FB" w14:textId="62990299" w:rsidR="00FB404F" w:rsidRPr="00FB404F" w:rsidRDefault="00FB404F" w:rsidP="00FB404F">
            <w:pPr>
              <w:rPr>
                <w:rFonts w:cs="Arial"/>
              </w:rPr>
            </w:pPr>
            <w:r w:rsidRPr="00DD4C82">
              <w:rPr>
                <w:rFonts w:cs="Arial"/>
              </w:rPr>
              <w:t xml:space="preserve">Transfer of monitoring and prescribing to primary care is normally after at least </w:t>
            </w:r>
            <w:r w:rsidR="00B33076" w:rsidRPr="00DD4C82">
              <w:rPr>
                <w:rFonts w:cs="Arial"/>
              </w:rPr>
              <w:t>12</w:t>
            </w:r>
            <w:r w:rsidRPr="00DD4C82">
              <w:rPr>
                <w:rFonts w:cs="Arial"/>
              </w:rPr>
              <w:t xml:space="preserve"> weeks, and when the patient’s dose has been optimised and with satisfactory investigation results for at least </w:t>
            </w:r>
            <w:r w:rsidR="00B33076" w:rsidRPr="00DD4C82">
              <w:rPr>
                <w:rFonts w:cs="Arial"/>
              </w:rPr>
              <w:t>4</w:t>
            </w:r>
            <w:r w:rsidRPr="00DD4C82">
              <w:rPr>
                <w:rFonts w:cs="Arial"/>
              </w:rPr>
              <w:t xml:space="preserve"> weeks.</w:t>
            </w:r>
          </w:p>
          <w:p w14:paraId="3243FEE8" w14:textId="4FE667AD" w:rsidR="00FB404F" w:rsidRPr="00FB404F" w:rsidRDefault="00FB404F" w:rsidP="00FB404F">
            <w:pPr>
              <w:rPr>
                <w:rFonts w:cs="Arial"/>
              </w:rPr>
            </w:pPr>
            <w:r w:rsidRPr="00FB404F">
              <w:rPr>
                <w:rFonts w:cs="Arial"/>
              </w:rPr>
              <w:t>The duration of treatment &amp; frequency of review will be determined by the specialist, based on clinical response and tolerability.</w:t>
            </w:r>
          </w:p>
          <w:p w14:paraId="7596D355" w14:textId="0B719FB1" w:rsidR="00FB404F" w:rsidRPr="00FB404F" w:rsidRDefault="00FB404F" w:rsidP="00FB404F">
            <w:pPr>
              <w:rPr>
                <w:rFonts w:cs="Arial"/>
              </w:rPr>
            </w:pPr>
            <w:r w:rsidRPr="00FB404F">
              <w:rPr>
                <w:rFonts w:cs="Arial"/>
              </w:rPr>
              <w:t>All dose or formulation adjustments will be the responsibility of the specialist unless directions have been discussed and agreed with the primary care clinician.</w:t>
            </w:r>
          </w:p>
          <w:p w14:paraId="78E31A93" w14:textId="6F902313" w:rsidR="00C72861" w:rsidRPr="00FB404F" w:rsidRDefault="00FB404F" w:rsidP="00FB404F">
            <w:pPr>
              <w:rPr>
                <w:rFonts w:cs="Arial"/>
              </w:rPr>
            </w:pPr>
            <w:r w:rsidRPr="00FB404F">
              <w:rPr>
                <w:rFonts w:cs="Arial"/>
              </w:rPr>
              <w:t>Termination of treatment will be the responsibility of the specialist</w:t>
            </w:r>
            <w:r w:rsidR="002813EC">
              <w:rPr>
                <w:rFonts w:cs="Arial"/>
              </w:rPr>
              <w:t xml:space="preserve"> unless an urgent cessation of treatment is required (</w:t>
            </w:r>
            <w:r w:rsidR="00D81D77">
              <w:rPr>
                <w:rFonts w:cs="Arial"/>
              </w:rPr>
              <w:t xml:space="preserve">see </w:t>
            </w:r>
            <w:hyperlink w:anchor="ten_adverse_effects" w:history="1">
              <w:r w:rsidR="002813EC" w:rsidRPr="00A972A0">
                <w:rPr>
                  <w:rStyle w:val="Hyperlink"/>
                  <w:rFonts w:cs="Arial"/>
                </w:rPr>
                <w:t>section 10</w:t>
              </w:r>
            </w:hyperlink>
            <w:r w:rsidR="002813EC">
              <w:rPr>
                <w:rFonts w:cs="Arial"/>
              </w:rPr>
              <w:t>)</w:t>
            </w:r>
            <w:r w:rsidRPr="00FB404F">
              <w:rPr>
                <w:rFonts w:cs="Arial"/>
              </w:rPr>
              <w:t>.</w:t>
            </w:r>
          </w:p>
          <w:p w14:paraId="7FAC74DC" w14:textId="77777777" w:rsidR="00FB404F" w:rsidRPr="00FB404F" w:rsidRDefault="00FB404F" w:rsidP="00FB404F">
            <w:pPr>
              <w:rPr>
                <w:rFonts w:cs="Arial"/>
              </w:rPr>
            </w:pPr>
          </w:p>
          <w:p w14:paraId="6555FAD1" w14:textId="2C9BA274" w:rsidR="00891257" w:rsidRPr="0051526F" w:rsidRDefault="00FB404F" w:rsidP="0051526F">
            <w:pPr>
              <w:rPr>
                <w:b/>
                <w:bCs/>
                <w:u w:val="single"/>
              </w:rPr>
            </w:pPr>
            <w:r w:rsidRPr="0051526F">
              <w:rPr>
                <w:b/>
                <w:bCs/>
                <w:u w:val="single"/>
              </w:rPr>
              <w:t xml:space="preserve">Initial </w:t>
            </w:r>
            <w:r w:rsidR="00946787" w:rsidRPr="0051526F">
              <w:rPr>
                <w:b/>
                <w:bCs/>
                <w:u w:val="single"/>
              </w:rPr>
              <w:t>stabilisation</w:t>
            </w:r>
            <w:r w:rsidRPr="0051526F">
              <w:rPr>
                <w:b/>
                <w:bCs/>
                <w:u w:val="single"/>
              </w:rPr>
              <w:t xml:space="preserve">: </w:t>
            </w:r>
          </w:p>
          <w:p w14:paraId="473A49B1" w14:textId="77777777" w:rsidR="00946787" w:rsidRPr="00946787" w:rsidRDefault="00946787" w:rsidP="00946787">
            <w:pPr>
              <w:rPr>
                <w:rFonts w:cs="Arial"/>
              </w:rPr>
            </w:pPr>
            <w:r w:rsidRPr="00946787">
              <w:rPr>
                <w:rFonts w:cs="Arial"/>
              </w:rPr>
              <w:t xml:space="preserve">200mg three times per day for one week, then reduce to 200mg twice per day for one week.  </w:t>
            </w:r>
          </w:p>
          <w:p w14:paraId="2229E9DD" w14:textId="77777777" w:rsidR="00946787" w:rsidRPr="00946787" w:rsidRDefault="00946787" w:rsidP="00946787">
            <w:pPr>
              <w:rPr>
                <w:rFonts w:cs="Arial"/>
              </w:rPr>
            </w:pPr>
            <w:r w:rsidRPr="00946787">
              <w:rPr>
                <w:rFonts w:cs="Arial"/>
              </w:rPr>
              <w:t>Amiodarone is initiated with a loading dose in order to achieve adequate tissue levels rapidly. Rarely, the specialist team may use an alternative loading regimen.</w:t>
            </w:r>
          </w:p>
          <w:p w14:paraId="46BB63EB" w14:textId="3CFD7F9A" w:rsidR="003558F4" w:rsidRDefault="00946787" w:rsidP="00946787">
            <w:pPr>
              <w:rPr>
                <w:rFonts w:cs="Arial"/>
                <w:b/>
                <w:bCs/>
              </w:rPr>
            </w:pPr>
            <w:r w:rsidRPr="00946787">
              <w:rPr>
                <w:rFonts w:cs="Arial"/>
                <w:b/>
                <w:bCs/>
              </w:rPr>
              <w:t>The loading period must be prescribed by the initiating specialist.</w:t>
            </w:r>
          </w:p>
          <w:p w14:paraId="6039515C" w14:textId="77777777" w:rsidR="00062885" w:rsidRPr="00946787" w:rsidRDefault="00062885" w:rsidP="00946787">
            <w:pPr>
              <w:rPr>
                <w:rFonts w:cs="Arial"/>
                <w:b/>
                <w:bCs/>
              </w:rPr>
            </w:pPr>
          </w:p>
          <w:p w14:paraId="2F92A165" w14:textId="46DA1473" w:rsidR="000F4219" w:rsidRPr="0051526F" w:rsidRDefault="00FB404F" w:rsidP="0051526F">
            <w:pPr>
              <w:rPr>
                <w:b/>
                <w:bCs/>
                <w:u w:val="single"/>
              </w:rPr>
            </w:pPr>
            <w:r w:rsidRPr="0051526F">
              <w:rPr>
                <w:b/>
                <w:bCs/>
                <w:u w:val="single"/>
              </w:rPr>
              <w:t>Maintenance dose (following initial stabilisation):</w:t>
            </w:r>
          </w:p>
          <w:p w14:paraId="784BF002" w14:textId="77777777" w:rsidR="001A51F3" w:rsidRPr="001A51F3" w:rsidRDefault="001A51F3" w:rsidP="001A51F3">
            <w:pPr>
              <w:rPr>
                <w:rFonts w:cs="Arial"/>
              </w:rPr>
            </w:pPr>
            <w:r w:rsidRPr="001A51F3">
              <w:rPr>
                <w:rFonts w:cs="Arial"/>
              </w:rPr>
              <w:t xml:space="preserve">200mg per day, or less if appropriate.  The minimum dose required to control the arrhythmia should be used.  </w:t>
            </w:r>
          </w:p>
          <w:p w14:paraId="14438805" w14:textId="77777777" w:rsidR="001A51F3" w:rsidRPr="001A51F3" w:rsidRDefault="001A51F3" w:rsidP="001A51F3">
            <w:pPr>
              <w:rPr>
                <w:rFonts w:cs="Arial"/>
              </w:rPr>
            </w:pPr>
            <w:r w:rsidRPr="001A51F3">
              <w:rPr>
                <w:rFonts w:cs="Arial"/>
              </w:rPr>
              <w:lastRenderedPageBreak/>
              <w:t xml:space="preserve">Rarely, a higher maintenance dose may be required. The maintenance dose should be reviewed regularly, particularly if it exceeds 200mg per day. </w:t>
            </w:r>
          </w:p>
          <w:p w14:paraId="7AA3AEC4" w14:textId="7DC5F510" w:rsidR="00FB404F" w:rsidRPr="001A51F3" w:rsidRDefault="001A51F3" w:rsidP="001A51F3">
            <w:pPr>
              <w:rPr>
                <w:rFonts w:cs="Arial"/>
                <w:b/>
                <w:bCs/>
              </w:rPr>
            </w:pPr>
            <w:r w:rsidRPr="001A51F3">
              <w:rPr>
                <w:rFonts w:cs="Arial"/>
                <w:b/>
                <w:bCs/>
              </w:rPr>
              <w:t>The initial maintenance dose must be prescribed by the initiating specialist.</w:t>
            </w:r>
          </w:p>
          <w:p w14:paraId="6BA7644C" w14:textId="77777777" w:rsidR="001A51F3" w:rsidRPr="00FB404F" w:rsidRDefault="001A51F3" w:rsidP="001A51F3">
            <w:pPr>
              <w:rPr>
                <w:rFonts w:cs="Arial"/>
              </w:rPr>
            </w:pPr>
          </w:p>
          <w:p w14:paraId="35304426" w14:textId="5CF2C7C6" w:rsidR="00FB404F" w:rsidRPr="00FB404F" w:rsidRDefault="00FB404F" w:rsidP="00FB404F">
            <w:pPr>
              <w:rPr>
                <w:rFonts w:eastAsiaTheme="majorEastAsia" w:cs="Arial"/>
                <w:b/>
                <w:szCs w:val="24"/>
              </w:rPr>
            </w:pPr>
            <w:r w:rsidRPr="00FB404F">
              <w:rPr>
                <w:rFonts w:eastAsiaTheme="majorEastAsia" w:cs="Arial"/>
                <w:b/>
                <w:szCs w:val="24"/>
              </w:rPr>
              <w:t>Condi</w:t>
            </w:r>
            <w:r>
              <w:rPr>
                <w:rFonts w:eastAsiaTheme="majorEastAsia" w:cs="Arial"/>
                <w:b/>
                <w:szCs w:val="24"/>
              </w:rPr>
              <w:t>tions requiring dose adjustment:</w:t>
            </w:r>
          </w:p>
          <w:p w14:paraId="17835FF4" w14:textId="77777777" w:rsidR="000F4219" w:rsidRDefault="001A51F3" w:rsidP="00FB404F">
            <w:pPr>
              <w:rPr>
                <w:rFonts w:cs="Arial"/>
              </w:rPr>
            </w:pPr>
            <w:r w:rsidRPr="001A51F3">
              <w:rPr>
                <w:rFonts w:cs="Arial"/>
              </w:rPr>
              <w:t>Although there is no evidence that dose requirements for elderly patients are lower, they may be more susceptible to bradycardia and conduction defects if too high a dose is prescribed. The minimum effective dose should be used. Particular attention should be paid to monitoring thyroid function.</w:t>
            </w:r>
          </w:p>
          <w:p w14:paraId="710857F8" w14:textId="0DCAAB85" w:rsidR="00566A34" w:rsidRPr="00FB404F" w:rsidRDefault="00566A34" w:rsidP="00FB404F">
            <w:pPr>
              <w:rPr>
                <w:rFonts w:cs="Arial"/>
              </w:rPr>
            </w:pPr>
            <w:r>
              <w:rPr>
                <w:rFonts w:cs="Arial"/>
              </w:rPr>
              <w:t>Elevated transaminases greater than 3x upper limit of normal (ULN) may be cause for dose reduction or cessation</w:t>
            </w:r>
            <w:r w:rsidR="00F57E1F">
              <w:rPr>
                <w:rFonts w:cs="Arial"/>
              </w:rPr>
              <w:t>.</w:t>
            </w:r>
            <w:r w:rsidR="00F57E1F">
              <w:t xml:space="preserve"> See</w:t>
            </w:r>
            <w:r w:rsidR="00D81D77">
              <w:rPr>
                <w:rFonts w:cs="Arial"/>
              </w:rPr>
              <w:t xml:space="preserve"> </w:t>
            </w:r>
            <w:bookmarkStart w:id="8" w:name="ten_adverse_effects"/>
            <w:r w:rsidR="00884745">
              <w:rPr>
                <w:rFonts w:cs="Arial"/>
              </w:rPr>
              <w:fldChar w:fldCharType="begin"/>
            </w:r>
            <w:r w:rsidR="00763A33">
              <w:rPr>
                <w:rFonts w:cs="Arial"/>
              </w:rPr>
              <w:instrText>HYPERLINK  \l "ten_adverse_effects"</w:instrText>
            </w:r>
            <w:r w:rsidR="00884745">
              <w:rPr>
                <w:rFonts w:cs="Arial"/>
              </w:rPr>
            </w:r>
            <w:r w:rsidR="00884745">
              <w:rPr>
                <w:rFonts w:cs="Arial"/>
              </w:rPr>
              <w:fldChar w:fldCharType="separate"/>
            </w:r>
            <w:r w:rsidR="00D81D77" w:rsidRPr="00884745">
              <w:rPr>
                <w:rStyle w:val="Hyperlink"/>
                <w:rFonts w:cs="Arial"/>
              </w:rPr>
              <w:t>s</w:t>
            </w:r>
            <w:r w:rsidRPr="00884745">
              <w:rPr>
                <w:rStyle w:val="Hyperlink"/>
                <w:rFonts w:cs="Arial"/>
              </w:rPr>
              <w:t>ection 10</w:t>
            </w:r>
            <w:bookmarkEnd w:id="8"/>
            <w:r w:rsidR="00884745">
              <w:rPr>
                <w:rFonts w:cs="Arial"/>
              </w:rPr>
              <w:fldChar w:fldCharType="end"/>
            </w:r>
            <w:r w:rsidR="00BE2E59">
              <w:t xml:space="preserve"> for other potential reasons for a dose reduction. </w:t>
            </w:r>
          </w:p>
        </w:tc>
      </w:tr>
      <w:tr w:rsidR="00C72861" w:rsidRPr="00F321FC" w14:paraId="68FCED24" w14:textId="77777777" w:rsidTr="0051526F">
        <w:tc>
          <w:tcPr>
            <w:tcW w:w="2199" w:type="dxa"/>
          </w:tcPr>
          <w:p w14:paraId="3DF33630" w14:textId="4E2865B1" w:rsidR="00C72861" w:rsidRPr="00F321FC" w:rsidRDefault="00AE0E89" w:rsidP="00AE0E89">
            <w:pPr>
              <w:pStyle w:val="Heading2"/>
              <w:rPr>
                <w:rFonts w:cs="Arial"/>
              </w:rPr>
            </w:pPr>
            <w:bookmarkStart w:id="9" w:name="five_initial_monitoring"/>
            <w:bookmarkStart w:id="10" w:name="_Toc149231789"/>
            <w:r w:rsidRPr="00F321FC">
              <w:rPr>
                <w:rFonts w:cs="Arial"/>
              </w:rPr>
              <w:lastRenderedPageBreak/>
              <w:t xml:space="preserve">Baseline investigations, initial </w:t>
            </w:r>
            <w:r w:rsidR="00005FC7" w:rsidRPr="00F321FC">
              <w:rPr>
                <w:rFonts w:cs="Arial"/>
              </w:rPr>
              <w:t>monitoring,</w:t>
            </w:r>
            <w:r w:rsidRPr="00F321FC">
              <w:rPr>
                <w:rFonts w:cs="Arial"/>
              </w:rPr>
              <w:t xml:space="preserve"> and </w:t>
            </w:r>
            <w:r w:rsidR="00FB404F">
              <w:rPr>
                <w:rFonts w:cs="Arial"/>
              </w:rPr>
              <w:t xml:space="preserve">ongoing monitoring </w:t>
            </w:r>
            <w:r w:rsidRPr="00F321FC">
              <w:rPr>
                <w:rFonts w:cs="Arial"/>
              </w:rPr>
              <w:t>to be undertaken by specialist</w:t>
            </w:r>
            <w:bookmarkEnd w:id="9"/>
            <w:bookmarkEnd w:id="10"/>
          </w:p>
        </w:tc>
        <w:tc>
          <w:tcPr>
            <w:tcW w:w="8262" w:type="dxa"/>
          </w:tcPr>
          <w:p w14:paraId="0226882F" w14:textId="432B5CFF" w:rsidR="00FB404F" w:rsidRDefault="00FB404F" w:rsidP="00003E35">
            <w:pPr>
              <w:rPr>
                <w:lang w:eastAsia="en-GB"/>
              </w:rPr>
            </w:pPr>
            <w:r w:rsidRPr="00FB404F">
              <w:rPr>
                <w:lang w:eastAsia="en-GB"/>
              </w:rPr>
              <w:t>Monitoring at baseline and during initiation is the responsibility of the specialist; only once the patient is optimised on the chosen medication with no anticipated further changes expected in</w:t>
            </w:r>
            <w:r>
              <w:rPr>
                <w:lang w:eastAsia="en-GB"/>
              </w:rPr>
              <w:t xml:space="preserve"> the</w:t>
            </w:r>
            <w:r w:rsidRPr="00FB404F">
              <w:rPr>
                <w:lang w:eastAsia="en-GB"/>
              </w:rPr>
              <w:t xml:space="preserve"> immediate future will prescribing and monitoring be transferred to primary care.</w:t>
            </w:r>
          </w:p>
          <w:p w14:paraId="45F0EFC5" w14:textId="54BCABDE" w:rsidR="00E63FE4" w:rsidRPr="00E63FE4" w:rsidRDefault="00E63FE4" w:rsidP="00003E35">
            <w:pPr>
              <w:rPr>
                <w:lang w:eastAsia="en-GB"/>
              </w:rPr>
            </w:pPr>
            <w:r w:rsidRPr="00091B08">
              <w:rPr>
                <w:lang w:eastAsia="en-GB"/>
              </w:rPr>
              <w:t>At initiation of shared care, communication to primary care should include current and ongoing dose, any relevant test results, and date the next monitoring is required.</w:t>
            </w:r>
          </w:p>
          <w:p w14:paraId="3E25A637" w14:textId="77777777" w:rsidR="00FB404F" w:rsidRPr="00FB404F" w:rsidRDefault="00FB404F" w:rsidP="00003E35">
            <w:pPr>
              <w:rPr>
                <w:lang w:eastAsia="en-GB"/>
              </w:rPr>
            </w:pPr>
          </w:p>
          <w:p w14:paraId="706B6366" w14:textId="77777777" w:rsidR="0041687B" w:rsidRPr="0051526F" w:rsidRDefault="0041687B" w:rsidP="0051526F">
            <w:pPr>
              <w:rPr>
                <w:b/>
                <w:bCs/>
                <w:u w:val="single"/>
              </w:rPr>
            </w:pPr>
            <w:r w:rsidRPr="0051526F">
              <w:rPr>
                <w:b/>
                <w:bCs/>
                <w:u w:val="single"/>
              </w:rPr>
              <w:t>Baseline investigations:</w:t>
            </w:r>
          </w:p>
          <w:p w14:paraId="277287E2" w14:textId="186C1C22" w:rsidR="001A51F3" w:rsidRPr="001A51F3" w:rsidRDefault="001A51F3" w:rsidP="001A51F3">
            <w:pPr>
              <w:pStyle w:val="ListParagraph"/>
              <w:numPr>
                <w:ilvl w:val="0"/>
                <w:numId w:val="27"/>
              </w:numPr>
            </w:pPr>
            <w:r w:rsidRPr="001A51F3">
              <w:t>Thyroid function tests (</w:t>
            </w:r>
            <w:r w:rsidR="0085244E">
              <w:t xml:space="preserve">TFTs; </w:t>
            </w:r>
            <w:r w:rsidRPr="001A51F3">
              <w:t>free T4, free T3 and TSH)</w:t>
            </w:r>
            <w:r w:rsidR="004D5B8A">
              <w:t xml:space="preserve">. Consider </w:t>
            </w:r>
            <w:r w:rsidR="00F465B4">
              <w:t xml:space="preserve">testing for </w:t>
            </w:r>
            <w:r w:rsidR="004D5B8A">
              <w:t>thyroid peroxidase antibodies</w:t>
            </w:r>
            <w:r w:rsidR="00DE6B93">
              <w:t xml:space="preserve"> for people with elevated TSH</w:t>
            </w:r>
            <w:r w:rsidR="004D5B8A">
              <w:t xml:space="preserve">. </w:t>
            </w:r>
          </w:p>
          <w:p w14:paraId="6FD3B022" w14:textId="14E5159D" w:rsidR="001A51F3" w:rsidRPr="001A51F3" w:rsidRDefault="001A51F3" w:rsidP="001A51F3">
            <w:pPr>
              <w:pStyle w:val="ListParagraph"/>
              <w:numPr>
                <w:ilvl w:val="0"/>
                <w:numId w:val="27"/>
              </w:numPr>
            </w:pPr>
            <w:r w:rsidRPr="001A51F3">
              <w:t>Liver function tests (LFTs, particularly transaminases)</w:t>
            </w:r>
          </w:p>
          <w:p w14:paraId="2718E9AF" w14:textId="272243B6" w:rsidR="001A51F3" w:rsidRDefault="001A51F3" w:rsidP="001A51F3">
            <w:pPr>
              <w:pStyle w:val="ListParagraph"/>
              <w:numPr>
                <w:ilvl w:val="0"/>
                <w:numId w:val="27"/>
              </w:numPr>
            </w:pPr>
            <w:r w:rsidRPr="001A51F3">
              <w:t>Urea and electrolytes (U&amp;Es, including potassium)</w:t>
            </w:r>
          </w:p>
          <w:p w14:paraId="6A623A6B" w14:textId="3040F1B8" w:rsidR="00A74F61" w:rsidRPr="001A51F3" w:rsidRDefault="00A74F61" w:rsidP="001A51F3">
            <w:pPr>
              <w:pStyle w:val="ListParagraph"/>
              <w:numPr>
                <w:ilvl w:val="0"/>
                <w:numId w:val="27"/>
              </w:numPr>
            </w:pPr>
            <w:r>
              <w:t xml:space="preserve">Magnesium </w:t>
            </w:r>
          </w:p>
          <w:p w14:paraId="01C9B69E" w14:textId="42E48278" w:rsidR="001A51F3" w:rsidRPr="001A51F3" w:rsidRDefault="001A51F3" w:rsidP="001A51F3">
            <w:pPr>
              <w:pStyle w:val="ListParagraph"/>
              <w:numPr>
                <w:ilvl w:val="0"/>
                <w:numId w:val="27"/>
              </w:numPr>
            </w:pPr>
            <w:r w:rsidRPr="001A51F3">
              <w:t xml:space="preserve">Electrocardiogram (ECG) </w:t>
            </w:r>
          </w:p>
          <w:p w14:paraId="326F8F49" w14:textId="3ED77811" w:rsidR="001A51F3" w:rsidRPr="001A51F3" w:rsidRDefault="001A51F3" w:rsidP="001A51F3">
            <w:pPr>
              <w:pStyle w:val="ListParagraph"/>
              <w:numPr>
                <w:ilvl w:val="0"/>
                <w:numId w:val="27"/>
              </w:numPr>
            </w:pPr>
            <w:r w:rsidRPr="001A51F3">
              <w:t xml:space="preserve">Chest X-ray </w:t>
            </w:r>
          </w:p>
          <w:p w14:paraId="7CD8ACB9" w14:textId="6AD3C51C" w:rsidR="001A51F3" w:rsidRPr="00DD4C82" w:rsidRDefault="001A51F3" w:rsidP="001A51F3">
            <w:pPr>
              <w:pStyle w:val="ListParagraph"/>
              <w:numPr>
                <w:ilvl w:val="0"/>
                <w:numId w:val="27"/>
              </w:numPr>
            </w:pPr>
            <w:r w:rsidRPr="00DD4C82">
              <w:t>For patients taking warfarin: monitor international normalised ratio (INR) at baseline and during dose stabilisation period</w:t>
            </w:r>
            <w:r w:rsidR="00B02888" w:rsidRPr="00DD4C82">
              <w:t>, in close collaboration with the anticoagulant clinic</w:t>
            </w:r>
            <w:r w:rsidR="00731A8B" w:rsidRPr="00091B08">
              <w:t xml:space="preserve"> or other appropriate service</w:t>
            </w:r>
            <w:r w:rsidR="002B318E" w:rsidRPr="00DD4C82">
              <w:t>.</w:t>
            </w:r>
          </w:p>
          <w:p w14:paraId="4C377D47" w14:textId="4AEAC8A4" w:rsidR="0041687B" w:rsidRDefault="001A51F3" w:rsidP="001A51F3">
            <w:pPr>
              <w:pStyle w:val="ListParagraph"/>
              <w:numPr>
                <w:ilvl w:val="0"/>
                <w:numId w:val="27"/>
              </w:numPr>
            </w:pPr>
            <w:r w:rsidRPr="001A51F3">
              <w:t>For patients taking digoxin: clinical monitoring is recommended and the digoxin dose should be halved. Digoxin levels should be monitored appropriately</w:t>
            </w:r>
            <w:r w:rsidR="002E2BA7">
              <w:t xml:space="preserve"> and the dose titrated</w:t>
            </w:r>
            <w:r w:rsidRPr="001A51F3">
              <w:t>.</w:t>
            </w:r>
          </w:p>
          <w:p w14:paraId="1B12F5F9" w14:textId="77777777" w:rsidR="001A51F3" w:rsidRDefault="001A51F3" w:rsidP="001A51F3"/>
          <w:p w14:paraId="5C41EF28" w14:textId="4BB8419C" w:rsidR="001A51F3" w:rsidRDefault="001A51F3" w:rsidP="00BF174A">
            <w:r w:rsidRPr="00BF174A">
              <w:rPr>
                <w:b/>
                <w:bCs/>
                <w:u w:val="single"/>
              </w:rPr>
              <w:t xml:space="preserve">Initial monitoring: </w:t>
            </w:r>
          </w:p>
          <w:p w14:paraId="1111CCD6" w14:textId="5D33D2CD" w:rsidR="0085244E" w:rsidRDefault="0085244E" w:rsidP="000F68E2">
            <w:pPr>
              <w:pStyle w:val="ListParagraph"/>
              <w:numPr>
                <w:ilvl w:val="0"/>
                <w:numId w:val="40"/>
              </w:numPr>
            </w:pPr>
            <w:r>
              <w:t>Where results are borderline, monitor TFTs every six weeks until stable.</w:t>
            </w:r>
          </w:p>
          <w:p w14:paraId="2D85A9DD" w14:textId="36DF7B58" w:rsidR="000F68E2" w:rsidRPr="00DD4C82" w:rsidRDefault="000F68E2" w:rsidP="0064598F">
            <w:pPr>
              <w:pStyle w:val="ListParagraph"/>
              <w:numPr>
                <w:ilvl w:val="0"/>
                <w:numId w:val="40"/>
              </w:numPr>
            </w:pPr>
            <w:r w:rsidRPr="00DD4C82">
              <w:t>For patients taking warfarin: monitor INR for at least 7 weeks, in close collaboration wi</w:t>
            </w:r>
            <w:r w:rsidR="001D0190" w:rsidRPr="00DD4C82">
              <w:t>th</w:t>
            </w:r>
            <w:r w:rsidRPr="00DD4C82">
              <w:t xml:space="preserve"> the anticoagulant clinic</w:t>
            </w:r>
            <w:r w:rsidR="005B7464" w:rsidRPr="00091B08">
              <w:t xml:space="preserve"> or other appropriate service</w:t>
            </w:r>
            <w:r w:rsidRPr="00DD4C82">
              <w:t xml:space="preserve">. </w:t>
            </w:r>
          </w:p>
          <w:p w14:paraId="1C3B3B05" w14:textId="77777777" w:rsidR="001A51F3" w:rsidRPr="001A51F3" w:rsidRDefault="001A51F3" w:rsidP="001A51F3"/>
          <w:p w14:paraId="07CDEB35" w14:textId="77777777" w:rsidR="0041687B" w:rsidRPr="0051526F" w:rsidRDefault="0041687B" w:rsidP="0051526F">
            <w:pPr>
              <w:rPr>
                <w:b/>
                <w:bCs/>
                <w:u w:val="single"/>
              </w:rPr>
            </w:pPr>
            <w:r w:rsidRPr="0051526F">
              <w:rPr>
                <w:b/>
                <w:bCs/>
                <w:u w:val="single"/>
              </w:rPr>
              <w:t>Ongoing monitoring:</w:t>
            </w:r>
          </w:p>
          <w:p w14:paraId="43C6F057" w14:textId="715676AF" w:rsidR="001A51F3" w:rsidRPr="00DD4C82" w:rsidRDefault="001A51F3" w:rsidP="001A51F3">
            <w:pPr>
              <w:pStyle w:val="ListParagraph"/>
              <w:numPr>
                <w:ilvl w:val="0"/>
                <w:numId w:val="28"/>
              </w:numPr>
              <w:rPr>
                <w:rFonts w:cs="Arial"/>
              </w:rPr>
            </w:pPr>
            <w:r w:rsidRPr="00DD4C82">
              <w:rPr>
                <w:rFonts w:cs="Arial"/>
              </w:rPr>
              <w:t>ECG (at least annually – see below regarding primary care availability)</w:t>
            </w:r>
          </w:p>
          <w:p w14:paraId="41FF0CDA" w14:textId="229BD586" w:rsidR="001A51F3" w:rsidRPr="001A51F3" w:rsidRDefault="0085244E" w:rsidP="001A51F3">
            <w:pPr>
              <w:pStyle w:val="ListParagraph"/>
              <w:numPr>
                <w:ilvl w:val="0"/>
                <w:numId w:val="28"/>
              </w:numPr>
              <w:rPr>
                <w:rFonts w:cs="Arial"/>
              </w:rPr>
            </w:pPr>
            <w:r>
              <w:rPr>
                <w:rFonts w:cs="Arial"/>
              </w:rPr>
              <w:t>I</w:t>
            </w:r>
            <w:r w:rsidRPr="001A51F3">
              <w:rPr>
                <w:rFonts w:cs="Arial"/>
              </w:rPr>
              <w:t>f respiratory symptoms or toxicity suspected</w:t>
            </w:r>
            <w:r>
              <w:rPr>
                <w:rFonts w:cs="Arial"/>
              </w:rPr>
              <w:t>:</w:t>
            </w:r>
            <w:r w:rsidRPr="001A51F3">
              <w:rPr>
                <w:rFonts w:cs="Arial"/>
              </w:rPr>
              <w:t xml:space="preserve"> </w:t>
            </w:r>
            <w:r>
              <w:rPr>
                <w:rFonts w:cs="Arial"/>
              </w:rPr>
              <w:t>c</w:t>
            </w:r>
            <w:r w:rsidR="001A51F3" w:rsidRPr="001A51F3">
              <w:rPr>
                <w:rFonts w:cs="Arial"/>
              </w:rPr>
              <w:t>hest X-ray</w:t>
            </w:r>
            <w:r>
              <w:rPr>
                <w:rFonts w:cs="Arial"/>
              </w:rPr>
              <w:t>,</w:t>
            </w:r>
            <w:r w:rsidR="004D5B8A">
              <w:rPr>
                <w:rFonts w:cs="Arial"/>
              </w:rPr>
              <w:t xml:space="preserve"> </w:t>
            </w:r>
            <w:r w:rsidR="001D0190">
              <w:rPr>
                <w:rFonts w:cs="Arial"/>
              </w:rPr>
              <w:t xml:space="preserve">high resolution CT scan, and </w:t>
            </w:r>
            <w:r w:rsidR="001A51F3" w:rsidRPr="001A51F3">
              <w:rPr>
                <w:rFonts w:cs="Arial"/>
              </w:rPr>
              <w:t>pulmonary function tests</w:t>
            </w:r>
            <w:r w:rsidR="001D0190">
              <w:rPr>
                <w:rFonts w:cs="Arial"/>
              </w:rPr>
              <w:t xml:space="preserve"> including,</w:t>
            </w:r>
            <w:r>
              <w:rPr>
                <w:rFonts w:cs="Arial"/>
              </w:rPr>
              <w:t xml:space="preserve"> where possible, transfer factor. </w:t>
            </w:r>
          </w:p>
          <w:p w14:paraId="3672B0FF" w14:textId="08F57BA3" w:rsidR="003263E8" w:rsidRPr="0041687B" w:rsidRDefault="001A51F3" w:rsidP="001A51F3">
            <w:pPr>
              <w:rPr>
                <w:rFonts w:cs="Arial"/>
              </w:rPr>
            </w:pPr>
            <w:r w:rsidRPr="001A51F3">
              <w:rPr>
                <w:rFonts w:cs="Arial"/>
              </w:rPr>
              <w:lastRenderedPageBreak/>
              <w:t xml:space="preserve">After each review, advise primary care whether treatment should be continued, confirm the ongoing dose, and whether the ongoing monitoring outlined in </w:t>
            </w:r>
            <w:hyperlink w:anchor="six_monitoring" w:history="1">
              <w:r w:rsidRPr="001A51F3">
                <w:rPr>
                  <w:rStyle w:val="Hyperlink"/>
                  <w:rFonts w:cs="Arial"/>
                </w:rPr>
                <w:t>section 6</w:t>
              </w:r>
            </w:hyperlink>
            <w:r w:rsidRPr="001A51F3">
              <w:rPr>
                <w:rFonts w:cs="Arial"/>
              </w:rPr>
              <w:t xml:space="preserve"> remains appropriate.</w:t>
            </w:r>
          </w:p>
        </w:tc>
      </w:tr>
    </w:tbl>
    <w:p w14:paraId="7BD95E7B" w14:textId="77777777" w:rsidR="0051526F" w:rsidRDefault="0051526F"/>
    <w:p w14:paraId="39805D5C" w14:textId="77777777" w:rsidR="0051526F" w:rsidRDefault="0051526F" w:rsidP="0051526F">
      <w:pPr>
        <w:pStyle w:val="Heading2"/>
        <w:rPr>
          <w:rFonts w:cs="Arial"/>
        </w:rPr>
      </w:pPr>
      <w:bookmarkStart w:id="11" w:name="_Toc149231790"/>
      <w:bookmarkStart w:id="12" w:name="six_monitoring"/>
      <w:r w:rsidRPr="00F321FC">
        <w:rPr>
          <w:rFonts w:cs="Arial"/>
        </w:rPr>
        <w:t>Ongoing monitoring requirements to be undertaken by primary care</w:t>
      </w:r>
      <w:bookmarkEnd w:id="11"/>
    </w:p>
    <w:bookmarkEnd w:id="12"/>
    <w:p w14:paraId="390251ED" w14:textId="1BF22BCF" w:rsidR="0051526F" w:rsidRDefault="0051526F">
      <w:r w:rsidRPr="00EC0326">
        <w:rPr>
          <w:rFonts w:cs="Arial"/>
        </w:rPr>
        <w:t>If monitoring results are forwarded to the specialist team, please include clear clinical information on the reason for sending, to inform action to be taken by secondary care.</w:t>
      </w:r>
    </w:p>
    <w:tbl>
      <w:tblPr>
        <w:tblStyle w:val="TableGridLight1"/>
        <w:tblW w:w="10490" w:type="dxa"/>
        <w:tblInd w:w="-5" w:type="dxa"/>
        <w:tblCellMar>
          <w:top w:w="57" w:type="dxa"/>
          <w:bottom w:w="57" w:type="dxa"/>
        </w:tblCellMar>
        <w:tblLook w:val="0480" w:firstRow="0" w:lastRow="0" w:firstColumn="1" w:lastColumn="0" w:noHBand="0" w:noVBand="1"/>
      </w:tblPr>
      <w:tblGrid>
        <w:gridCol w:w="5032"/>
        <w:gridCol w:w="5458"/>
      </w:tblGrid>
      <w:tr w:rsidR="0051526F" w:rsidRPr="00F321FC" w14:paraId="3DB248E9" w14:textId="77777777" w:rsidTr="00D355FA">
        <w:trPr>
          <w:tblHeader/>
        </w:trPr>
        <w:tc>
          <w:tcPr>
            <w:tcW w:w="5032" w:type="dxa"/>
            <w:shd w:val="clear" w:color="auto" w:fill="F2F2F2" w:themeFill="background1" w:themeFillShade="F2"/>
          </w:tcPr>
          <w:p w14:paraId="1DAB6EDA" w14:textId="153D4D99" w:rsidR="0051526F" w:rsidRPr="00BF174A" w:rsidRDefault="0051526F" w:rsidP="00BF174A">
            <w:pPr>
              <w:rPr>
                <w:b/>
                <w:bCs/>
                <w:u w:val="single"/>
              </w:rPr>
            </w:pPr>
            <w:r w:rsidRPr="00BF174A">
              <w:rPr>
                <w:b/>
                <w:bCs/>
                <w:u w:val="single"/>
              </w:rPr>
              <w:t>Monitoring</w:t>
            </w:r>
          </w:p>
        </w:tc>
        <w:tc>
          <w:tcPr>
            <w:tcW w:w="5458" w:type="dxa"/>
            <w:shd w:val="clear" w:color="auto" w:fill="F2F2F2" w:themeFill="background1" w:themeFillShade="F2"/>
          </w:tcPr>
          <w:p w14:paraId="779C2E8A" w14:textId="1265EEED" w:rsidR="0051526F" w:rsidRPr="00BF174A" w:rsidRDefault="0051526F" w:rsidP="00BF174A">
            <w:pPr>
              <w:rPr>
                <w:b/>
                <w:bCs/>
                <w:u w:val="single"/>
              </w:rPr>
            </w:pPr>
            <w:r w:rsidRPr="00BF174A">
              <w:rPr>
                <w:b/>
                <w:bCs/>
                <w:u w:val="single"/>
              </w:rPr>
              <w:t>Frequency</w:t>
            </w:r>
          </w:p>
        </w:tc>
      </w:tr>
      <w:tr w:rsidR="0051526F" w:rsidRPr="00F321FC" w14:paraId="33418424" w14:textId="77777777" w:rsidTr="00D355FA">
        <w:tc>
          <w:tcPr>
            <w:tcW w:w="5032" w:type="dxa"/>
          </w:tcPr>
          <w:p w14:paraId="7D66078F" w14:textId="77777777" w:rsidR="0051526F" w:rsidRDefault="0051526F" w:rsidP="001A51F3">
            <w:pPr>
              <w:pStyle w:val="ListParagraph"/>
              <w:numPr>
                <w:ilvl w:val="0"/>
                <w:numId w:val="29"/>
              </w:numPr>
              <w:spacing w:before="0"/>
              <w:contextualSpacing/>
              <w:rPr>
                <w:rFonts w:eastAsia="Times New Roman" w:cstheme="minorHAnsi"/>
                <w:iCs/>
                <w:color w:val="000000"/>
                <w:lang w:eastAsia="en-GB"/>
              </w:rPr>
            </w:pPr>
            <w:r>
              <w:rPr>
                <w:rFonts w:eastAsia="Times New Roman" w:cstheme="minorHAnsi"/>
                <w:iCs/>
                <w:color w:val="000000"/>
                <w:lang w:eastAsia="en-GB"/>
              </w:rPr>
              <w:t>Thyroid function tests (free T4, free T3 and TSH)</w:t>
            </w:r>
          </w:p>
          <w:p w14:paraId="725BB3D8" w14:textId="77777777" w:rsidR="0051526F" w:rsidRPr="001A51F3" w:rsidRDefault="0051526F" w:rsidP="001A51F3">
            <w:pPr>
              <w:pStyle w:val="ListParagraph"/>
              <w:numPr>
                <w:ilvl w:val="0"/>
                <w:numId w:val="29"/>
              </w:numPr>
              <w:spacing w:before="0" w:after="0"/>
              <w:contextualSpacing/>
              <w:rPr>
                <w:rFonts w:cs="Arial"/>
              </w:rPr>
            </w:pPr>
            <w:r>
              <w:rPr>
                <w:rFonts w:eastAsia="Times New Roman" w:cstheme="minorHAnsi"/>
                <w:color w:val="000000"/>
                <w:lang w:eastAsia="en-GB"/>
              </w:rPr>
              <w:t>LFTs (particularly transaminases)</w:t>
            </w:r>
          </w:p>
          <w:p w14:paraId="5F60E02C" w14:textId="5D32D780" w:rsidR="0051526F" w:rsidRPr="002F21FA" w:rsidRDefault="0051526F" w:rsidP="001A51F3">
            <w:pPr>
              <w:pStyle w:val="ListParagraph"/>
              <w:numPr>
                <w:ilvl w:val="0"/>
                <w:numId w:val="29"/>
              </w:numPr>
              <w:spacing w:before="0" w:after="0"/>
              <w:contextualSpacing/>
              <w:rPr>
                <w:rFonts w:cs="Arial"/>
              </w:rPr>
            </w:pPr>
            <w:r>
              <w:rPr>
                <w:rFonts w:eastAsia="Times New Roman" w:cstheme="minorHAnsi"/>
                <w:color w:val="000000"/>
                <w:lang w:eastAsia="en-GB"/>
              </w:rPr>
              <w:t>U&amp;Es (including potassium)</w:t>
            </w:r>
          </w:p>
          <w:p w14:paraId="38C3A527" w14:textId="3EE509DC" w:rsidR="00A74F61" w:rsidRPr="00F321FC" w:rsidRDefault="00A74F61" w:rsidP="001A51F3">
            <w:pPr>
              <w:pStyle w:val="ListParagraph"/>
              <w:numPr>
                <w:ilvl w:val="0"/>
                <w:numId w:val="29"/>
              </w:numPr>
              <w:spacing w:before="0" w:after="0"/>
              <w:contextualSpacing/>
              <w:rPr>
                <w:rFonts w:cs="Arial"/>
              </w:rPr>
            </w:pPr>
            <w:r>
              <w:rPr>
                <w:rFonts w:eastAsia="Times New Roman" w:cstheme="minorHAnsi"/>
                <w:color w:val="000000"/>
              </w:rPr>
              <w:t xml:space="preserve">Magnesium </w:t>
            </w:r>
          </w:p>
        </w:tc>
        <w:tc>
          <w:tcPr>
            <w:tcW w:w="5458" w:type="dxa"/>
          </w:tcPr>
          <w:p w14:paraId="1A8B427C" w14:textId="77777777" w:rsidR="0051526F" w:rsidRDefault="0051526F" w:rsidP="001A51F3">
            <w:pPr>
              <w:rPr>
                <w:rFonts w:eastAsia="Times New Roman" w:cstheme="minorHAnsi"/>
                <w:iCs/>
                <w:color w:val="000000"/>
                <w:lang w:eastAsia="en-GB"/>
              </w:rPr>
            </w:pPr>
            <w:r>
              <w:rPr>
                <w:rFonts w:eastAsia="Times New Roman" w:cstheme="minorHAnsi"/>
                <w:iCs/>
                <w:color w:val="000000"/>
                <w:lang w:eastAsia="en-GB"/>
              </w:rPr>
              <w:t>Perform all tests every 6 months during treatment, and 6 months after discontinuation.</w:t>
            </w:r>
          </w:p>
          <w:p w14:paraId="460119A4" w14:textId="6B8248F7" w:rsidR="0051526F" w:rsidRPr="00F321FC" w:rsidRDefault="0051526F" w:rsidP="001A51F3">
            <w:pPr>
              <w:rPr>
                <w:rFonts w:cs="Arial"/>
              </w:rPr>
            </w:pPr>
            <w:r>
              <w:rPr>
                <w:rFonts w:eastAsia="Times New Roman" w:cstheme="minorHAnsi"/>
                <w:iCs/>
                <w:color w:val="000000"/>
                <w:lang w:eastAsia="en-GB"/>
              </w:rPr>
              <w:t>Thyroid function should continue to be monitored for up to 12 months after discontinuation, with frequency determined clinically.</w:t>
            </w:r>
          </w:p>
        </w:tc>
      </w:tr>
      <w:tr w:rsidR="0051526F" w:rsidRPr="00F321FC" w14:paraId="60A93057" w14:textId="77777777" w:rsidTr="00D355FA">
        <w:tc>
          <w:tcPr>
            <w:tcW w:w="5032" w:type="dxa"/>
          </w:tcPr>
          <w:p w14:paraId="0C76948D" w14:textId="0036153C" w:rsidR="0051526F" w:rsidRPr="00F321FC" w:rsidRDefault="0051526F" w:rsidP="001A51F3">
            <w:pPr>
              <w:rPr>
                <w:rFonts w:cs="Arial"/>
              </w:rPr>
            </w:pPr>
            <w:r w:rsidRPr="00DD4C82">
              <w:rPr>
                <w:rFonts w:eastAsia="Times New Roman" w:cstheme="minorHAnsi"/>
                <w:color w:val="000000"/>
                <w:lang w:eastAsia="en-GB"/>
              </w:rPr>
              <w:t>ECG (monitoring may be conducted in primary care where this service is available)</w:t>
            </w:r>
          </w:p>
        </w:tc>
        <w:tc>
          <w:tcPr>
            <w:tcW w:w="5458" w:type="dxa"/>
          </w:tcPr>
          <w:p w14:paraId="5A85F8DE" w14:textId="35D948AF" w:rsidR="0051526F" w:rsidRPr="00F321FC" w:rsidRDefault="0051526F" w:rsidP="001A51F3">
            <w:pPr>
              <w:rPr>
                <w:rFonts w:cs="Arial"/>
              </w:rPr>
            </w:pPr>
            <w:r>
              <w:rPr>
                <w:rFonts w:eastAsia="Times New Roman" w:cstheme="minorHAnsi"/>
                <w:iCs/>
                <w:color w:val="000000"/>
                <w:lang w:eastAsia="en-GB"/>
              </w:rPr>
              <w:t>At least annually</w:t>
            </w:r>
          </w:p>
        </w:tc>
      </w:tr>
      <w:tr w:rsidR="0051526F" w:rsidRPr="00F321FC" w14:paraId="50A88F0A" w14:textId="77777777" w:rsidTr="00D355FA">
        <w:tc>
          <w:tcPr>
            <w:tcW w:w="5032" w:type="dxa"/>
          </w:tcPr>
          <w:p w14:paraId="0C5A175F" w14:textId="5E07C5C0" w:rsidR="0051526F" w:rsidRDefault="0051526F" w:rsidP="001A51F3">
            <w:pPr>
              <w:rPr>
                <w:rFonts w:eastAsia="Times New Roman" w:cstheme="minorHAnsi"/>
                <w:color w:val="000000"/>
                <w:lang w:eastAsia="en-GB"/>
              </w:rPr>
            </w:pPr>
            <w:r>
              <w:rPr>
                <w:rFonts w:eastAsia="Times New Roman" w:cstheme="minorHAnsi"/>
                <w:color w:val="000000"/>
                <w:lang w:eastAsia="en-GB"/>
              </w:rPr>
              <w:t xml:space="preserve">For patients taking warfarin: INR </w:t>
            </w:r>
          </w:p>
        </w:tc>
        <w:tc>
          <w:tcPr>
            <w:tcW w:w="5458" w:type="dxa"/>
          </w:tcPr>
          <w:p w14:paraId="773F40DE" w14:textId="00465E83" w:rsidR="0051526F" w:rsidRDefault="0051526F" w:rsidP="001A51F3">
            <w:pPr>
              <w:rPr>
                <w:rFonts w:eastAsia="Times New Roman" w:cstheme="minorHAnsi"/>
                <w:iCs/>
                <w:color w:val="000000"/>
                <w:lang w:eastAsia="en-GB"/>
              </w:rPr>
            </w:pPr>
            <w:r>
              <w:rPr>
                <w:rFonts w:eastAsia="Times New Roman" w:cstheme="minorHAnsi"/>
                <w:iCs/>
                <w:color w:val="000000"/>
                <w:lang w:eastAsia="en-GB"/>
              </w:rPr>
              <w:t>M</w:t>
            </w:r>
            <w:r w:rsidRPr="002E2BA7">
              <w:rPr>
                <w:rFonts w:eastAsia="Times New Roman" w:cstheme="minorHAnsi"/>
                <w:iCs/>
                <w:color w:val="000000"/>
                <w:lang w:eastAsia="en-GB"/>
              </w:rPr>
              <w:t>ore frequent INR monitoring is required by the patient's usual warfarin monitoring service during treatment and after discontinuation. The warfarin dose should be adjusted according to the INR as required.</w:t>
            </w:r>
          </w:p>
        </w:tc>
      </w:tr>
    </w:tbl>
    <w:p w14:paraId="20855291" w14:textId="77777777" w:rsidR="0051526F" w:rsidRDefault="0051526F"/>
    <w:p w14:paraId="56152E6B" w14:textId="77777777" w:rsidR="0051526F" w:rsidRPr="00F321FC" w:rsidRDefault="0051526F" w:rsidP="0051526F">
      <w:pPr>
        <w:pStyle w:val="Heading2"/>
        <w:rPr>
          <w:rFonts w:cs="Arial"/>
        </w:rPr>
      </w:pPr>
      <w:bookmarkStart w:id="13" w:name="_Toc149231791"/>
      <w:r w:rsidRPr="00F321FC">
        <w:rPr>
          <w:rFonts w:cs="Arial"/>
        </w:rPr>
        <w:t>Pharmaceutical aspects</w:t>
      </w:r>
      <w:bookmarkEnd w:id="13"/>
    </w:p>
    <w:tbl>
      <w:tblPr>
        <w:tblStyle w:val="TableGridLight1"/>
        <w:tblW w:w="10490" w:type="dxa"/>
        <w:tblInd w:w="-5" w:type="dxa"/>
        <w:tblCellMar>
          <w:top w:w="57" w:type="dxa"/>
          <w:bottom w:w="57" w:type="dxa"/>
        </w:tblCellMar>
        <w:tblLook w:val="0480" w:firstRow="0" w:lastRow="0" w:firstColumn="1" w:lastColumn="0" w:noHBand="0" w:noVBand="1"/>
      </w:tblPr>
      <w:tblGrid>
        <w:gridCol w:w="2268"/>
        <w:gridCol w:w="8222"/>
      </w:tblGrid>
      <w:tr w:rsidR="0051526F" w:rsidRPr="00F321FC" w14:paraId="793C17AD" w14:textId="77777777" w:rsidTr="00D355FA">
        <w:trPr>
          <w:cantSplit/>
        </w:trPr>
        <w:tc>
          <w:tcPr>
            <w:tcW w:w="2268" w:type="dxa"/>
          </w:tcPr>
          <w:p w14:paraId="435FCFFB" w14:textId="2404CE1C" w:rsidR="0051526F" w:rsidRPr="00F321FC" w:rsidRDefault="0051526F" w:rsidP="001A51F3">
            <w:pPr>
              <w:rPr>
                <w:rFonts w:cs="Arial"/>
              </w:rPr>
            </w:pPr>
            <w:r w:rsidRPr="00F321FC">
              <w:rPr>
                <w:rFonts w:cs="Arial"/>
              </w:rPr>
              <w:t>Route of administration:</w:t>
            </w:r>
          </w:p>
        </w:tc>
        <w:tc>
          <w:tcPr>
            <w:tcW w:w="8222" w:type="dxa"/>
            <w:vAlign w:val="center"/>
          </w:tcPr>
          <w:p w14:paraId="58A97D63" w14:textId="65DC26C7" w:rsidR="0051526F" w:rsidRPr="00F321FC" w:rsidRDefault="0051526F" w:rsidP="001A51F3">
            <w:pPr>
              <w:rPr>
                <w:rFonts w:cs="Arial"/>
              </w:rPr>
            </w:pPr>
            <w:r>
              <w:rPr>
                <w:rFonts w:eastAsia="Times New Roman" w:cstheme="minorHAnsi"/>
                <w:szCs w:val="24"/>
                <w:lang w:eastAsia="en-GB"/>
              </w:rPr>
              <w:t xml:space="preserve">Oral </w:t>
            </w:r>
          </w:p>
        </w:tc>
      </w:tr>
      <w:tr w:rsidR="0051526F" w:rsidRPr="00F321FC" w14:paraId="0E5DDFDD" w14:textId="77777777" w:rsidTr="00D355FA">
        <w:trPr>
          <w:cantSplit/>
        </w:trPr>
        <w:tc>
          <w:tcPr>
            <w:tcW w:w="2268" w:type="dxa"/>
          </w:tcPr>
          <w:p w14:paraId="3B641692" w14:textId="6763D472" w:rsidR="0051526F" w:rsidRPr="00F321FC" w:rsidRDefault="0051526F" w:rsidP="001A51F3">
            <w:pPr>
              <w:rPr>
                <w:rFonts w:cs="Arial"/>
              </w:rPr>
            </w:pPr>
            <w:r w:rsidRPr="00F321FC">
              <w:rPr>
                <w:rFonts w:cs="Arial"/>
              </w:rPr>
              <w:t>Formulation:</w:t>
            </w:r>
          </w:p>
        </w:tc>
        <w:tc>
          <w:tcPr>
            <w:tcW w:w="8222" w:type="dxa"/>
            <w:vAlign w:val="center"/>
          </w:tcPr>
          <w:p w14:paraId="09C2B9C8" w14:textId="49C8860C" w:rsidR="0051526F" w:rsidRPr="00F321FC" w:rsidRDefault="0051526F" w:rsidP="001A51F3">
            <w:pPr>
              <w:rPr>
                <w:rFonts w:cs="Arial"/>
              </w:rPr>
            </w:pPr>
            <w:r>
              <w:rPr>
                <w:rFonts w:eastAsia="Times New Roman" w:cstheme="minorHAnsi"/>
                <w:iCs/>
                <w:noProof/>
                <w:color w:val="000000"/>
                <w:lang w:val="en-US" w:eastAsia="en-GB"/>
              </w:rPr>
              <w:t>Tablets;  100mg and 200mg</w:t>
            </w:r>
          </w:p>
        </w:tc>
      </w:tr>
      <w:tr w:rsidR="0051526F" w:rsidRPr="00F321FC" w14:paraId="4D08654E" w14:textId="77777777" w:rsidTr="00D355FA">
        <w:trPr>
          <w:cantSplit/>
        </w:trPr>
        <w:tc>
          <w:tcPr>
            <w:tcW w:w="2268" w:type="dxa"/>
          </w:tcPr>
          <w:p w14:paraId="5807ABCD" w14:textId="7BDA162B" w:rsidR="0051526F" w:rsidRPr="00F321FC" w:rsidRDefault="0051526F" w:rsidP="001A51F3">
            <w:pPr>
              <w:rPr>
                <w:rFonts w:cs="Arial"/>
              </w:rPr>
            </w:pPr>
            <w:r w:rsidRPr="00F321FC">
              <w:rPr>
                <w:rFonts w:cs="Arial"/>
              </w:rPr>
              <w:t>Administration details:</w:t>
            </w:r>
          </w:p>
        </w:tc>
        <w:tc>
          <w:tcPr>
            <w:tcW w:w="8222" w:type="dxa"/>
            <w:vAlign w:val="center"/>
          </w:tcPr>
          <w:p w14:paraId="0D815030" w14:textId="77777777" w:rsidR="0051526F" w:rsidRDefault="0051526F" w:rsidP="001A51F3">
            <w:pPr>
              <w:rPr>
                <w:rFonts w:eastAsia="Times New Roman" w:cstheme="minorHAnsi"/>
                <w:lang w:eastAsia="en-GB"/>
              </w:rPr>
            </w:pPr>
            <w:r>
              <w:rPr>
                <w:rFonts w:eastAsia="Times New Roman" w:cstheme="minorHAnsi"/>
                <w:lang w:eastAsia="en-GB"/>
              </w:rPr>
              <w:t xml:space="preserve">Maintenance dose can be given once daily, however doses &gt;200 mg daily (including loading period) may be given as split doses to minimise nausea. </w:t>
            </w:r>
          </w:p>
          <w:p w14:paraId="3956ABC5" w14:textId="79187741" w:rsidR="0051526F" w:rsidRPr="00F321FC" w:rsidRDefault="0051526F" w:rsidP="001A51F3">
            <w:pPr>
              <w:rPr>
                <w:rFonts w:cs="Arial"/>
              </w:rPr>
            </w:pPr>
            <w:r>
              <w:rPr>
                <w:rFonts w:eastAsia="Times New Roman" w:cstheme="minorHAnsi"/>
                <w:lang w:eastAsia="en-GB"/>
              </w:rPr>
              <w:t xml:space="preserve">If necessary, tablets may be crushed and dispersed in water or fruit </w:t>
            </w:r>
            <w:proofErr w:type="gramStart"/>
            <w:r>
              <w:rPr>
                <w:rFonts w:eastAsia="Times New Roman" w:cstheme="minorHAnsi"/>
                <w:lang w:eastAsia="en-GB"/>
              </w:rPr>
              <w:t>juice, but</w:t>
            </w:r>
            <w:proofErr w:type="gramEnd"/>
            <w:r>
              <w:rPr>
                <w:rFonts w:eastAsia="Times New Roman" w:cstheme="minorHAnsi"/>
                <w:lang w:eastAsia="en-GB"/>
              </w:rPr>
              <w:t xml:space="preserve"> have a bitter taste (unlicensed). Different brands may disperse in water at notably different rates. The solution for injection is irritant and should not be given orally. </w:t>
            </w:r>
          </w:p>
        </w:tc>
      </w:tr>
      <w:tr w:rsidR="0051526F" w:rsidRPr="00F321FC" w14:paraId="1BF5C41D" w14:textId="77777777" w:rsidTr="00D355FA">
        <w:trPr>
          <w:cantSplit/>
        </w:trPr>
        <w:tc>
          <w:tcPr>
            <w:tcW w:w="2268" w:type="dxa"/>
          </w:tcPr>
          <w:p w14:paraId="00D209C3" w14:textId="4AA020DB" w:rsidR="0051526F" w:rsidRPr="00F321FC" w:rsidRDefault="0051526F" w:rsidP="001A51F3">
            <w:pPr>
              <w:rPr>
                <w:rFonts w:cs="Arial"/>
              </w:rPr>
            </w:pPr>
            <w:r>
              <w:rPr>
                <w:rFonts w:cs="Arial"/>
              </w:rPr>
              <w:t xml:space="preserve">Other important information: </w:t>
            </w:r>
          </w:p>
        </w:tc>
        <w:tc>
          <w:tcPr>
            <w:tcW w:w="8222" w:type="dxa"/>
            <w:vAlign w:val="center"/>
          </w:tcPr>
          <w:p w14:paraId="29497621" w14:textId="77777777" w:rsidR="0051526F" w:rsidRDefault="0051526F" w:rsidP="001A51F3">
            <w:pPr>
              <w:rPr>
                <w:rFonts w:eastAsia="Times New Roman" w:cstheme="minorHAnsi"/>
                <w:szCs w:val="24"/>
                <w:lang w:eastAsia="en-GB"/>
              </w:rPr>
            </w:pPr>
            <w:r>
              <w:rPr>
                <w:rFonts w:eastAsia="Times New Roman" w:cstheme="minorHAnsi"/>
                <w:szCs w:val="24"/>
                <w:lang w:eastAsia="en-GB"/>
              </w:rPr>
              <w:t>The half-life of amiodarone is very long, with an average of 50 days (range 20-100 days). Side effects slowly disappear as tissue levels fall. Following drug withdrawal, residual tissue bound amiodarone may protect the patient for up to a month. However, the likelihood of recurrence of arrhythmia during this period should be considered.</w:t>
            </w:r>
          </w:p>
          <w:p w14:paraId="14CD1D9D" w14:textId="6B9BDEB4" w:rsidR="0051526F" w:rsidRPr="001A51F3" w:rsidRDefault="0051526F" w:rsidP="001A51F3">
            <w:pPr>
              <w:autoSpaceDE w:val="0"/>
              <w:autoSpaceDN w:val="0"/>
              <w:adjustRightInd w:val="0"/>
              <w:rPr>
                <w:rFonts w:eastAsia="Times New Roman" w:cstheme="minorHAnsi"/>
                <w:szCs w:val="24"/>
                <w:lang w:eastAsia="en-GB"/>
              </w:rPr>
            </w:pPr>
            <w:r>
              <w:rPr>
                <w:rFonts w:eastAsia="Times New Roman" w:cstheme="minorHAnsi"/>
                <w:szCs w:val="24"/>
                <w:lang w:eastAsia="en-GB"/>
              </w:rPr>
              <w:t xml:space="preserve">Grapefruit juice should be avoided during treatment with oral amiodarone and for several months after discontinuation (see </w:t>
            </w:r>
            <w:hyperlink w:anchor="nine_interactions" w:history="1">
              <w:r w:rsidRPr="001A51F3">
                <w:rPr>
                  <w:rStyle w:val="Hyperlink"/>
                  <w:rFonts w:eastAsia="Times New Roman" w:cstheme="minorHAnsi"/>
                  <w:szCs w:val="24"/>
                  <w:lang w:eastAsia="en-GB"/>
                </w:rPr>
                <w:t xml:space="preserve">section </w:t>
              </w:r>
              <w:r>
                <w:rPr>
                  <w:rStyle w:val="Hyperlink"/>
                  <w:rFonts w:eastAsia="Times New Roman" w:cstheme="minorHAnsi"/>
                  <w:szCs w:val="24"/>
                  <w:lang w:eastAsia="en-GB"/>
                </w:rPr>
                <w:t>9</w:t>
              </w:r>
            </w:hyperlink>
            <w:r>
              <w:rPr>
                <w:rFonts w:eastAsia="Times New Roman" w:cstheme="minorHAnsi"/>
                <w:szCs w:val="24"/>
                <w:lang w:eastAsia="en-GB"/>
              </w:rPr>
              <w:t xml:space="preserve">). </w:t>
            </w:r>
          </w:p>
        </w:tc>
      </w:tr>
    </w:tbl>
    <w:p w14:paraId="6DB2B26C" w14:textId="77777777" w:rsidR="0051526F" w:rsidRDefault="0051526F"/>
    <w:p w14:paraId="2699777B" w14:textId="77777777" w:rsidR="0051526F" w:rsidRDefault="0051526F"/>
    <w:tbl>
      <w:tblPr>
        <w:tblStyle w:val="TableGridLight1"/>
        <w:tblW w:w="0" w:type="auto"/>
        <w:tblInd w:w="-5" w:type="dxa"/>
        <w:tblCellMar>
          <w:top w:w="57" w:type="dxa"/>
          <w:bottom w:w="57" w:type="dxa"/>
        </w:tblCellMar>
        <w:tblLook w:val="0480" w:firstRow="0" w:lastRow="0" w:firstColumn="1" w:lastColumn="0" w:noHBand="0" w:noVBand="1"/>
      </w:tblPr>
      <w:tblGrid>
        <w:gridCol w:w="2407"/>
        <w:gridCol w:w="8054"/>
      </w:tblGrid>
      <w:tr w:rsidR="00F132AA" w:rsidRPr="00F321FC" w14:paraId="4A999C67" w14:textId="77777777" w:rsidTr="0051526F">
        <w:tc>
          <w:tcPr>
            <w:tcW w:w="2204" w:type="dxa"/>
          </w:tcPr>
          <w:p w14:paraId="6BB97933" w14:textId="5394937C" w:rsidR="00F132AA" w:rsidRPr="00F321FC" w:rsidRDefault="00BA2628" w:rsidP="00BA2628">
            <w:pPr>
              <w:pStyle w:val="Heading2"/>
              <w:rPr>
                <w:rFonts w:cs="Arial"/>
              </w:rPr>
            </w:pPr>
            <w:bookmarkStart w:id="14" w:name="eight_cautions_cx"/>
            <w:bookmarkStart w:id="15" w:name="_Toc149231792"/>
            <w:r w:rsidRPr="00F321FC">
              <w:rPr>
                <w:rFonts w:cs="Arial"/>
              </w:rPr>
              <w:t>C</w:t>
            </w:r>
            <w:r w:rsidR="0041687B">
              <w:rPr>
                <w:rFonts w:cs="Arial"/>
              </w:rPr>
              <w:t>autions and c</w:t>
            </w:r>
            <w:r w:rsidRPr="00F321FC">
              <w:rPr>
                <w:rFonts w:cs="Arial"/>
              </w:rPr>
              <w:t>ontraindications</w:t>
            </w:r>
            <w:bookmarkEnd w:id="14"/>
            <w:bookmarkEnd w:id="15"/>
          </w:p>
        </w:tc>
        <w:tc>
          <w:tcPr>
            <w:tcW w:w="8257" w:type="dxa"/>
          </w:tcPr>
          <w:p w14:paraId="6C8F1AB5" w14:textId="3AA3DFDD" w:rsidR="00F132AA" w:rsidRDefault="00FB404F" w:rsidP="00FB404F">
            <w:pPr>
              <w:rPr>
                <w:rFonts w:cs="Arial"/>
              </w:rPr>
            </w:pPr>
            <w:r w:rsidRPr="00FB404F">
              <w:rPr>
                <w:rFonts w:cs="Arial"/>
              </w:rPr>
              <w:t>This information does not replace the Summary of Product Characteristics (SPC</w:t>
            </w:r>
            <w:proofErr w:type="gramStart"/>
            <w:r w:rsidRPr="00FB404F">
              <w:rPr>
                <w:rFonts w:cs="Arial"/>
              </w:rPr>
              <w:t>), and</w:t>
            </w:r>
            <w:proofErr w:type="gramEnd"/>
            <w:r w:rsidRPr="00FB404F">
              <w:rPr>
                <w:rFonts w:cs="Arial"/>
              </w:rPr>
              <w:t xml:space="preserve"> should be read in conjunction with it. Please see </w:t>
            </w:r>
            <w:hyperlink r:id="rId16" w:history="1">
              <w:r w:rsidRPr="00F34C5E">
                <w:rPr>
                  <w:rStyle w:val="Hyperlink"/>
                  <w:rFonts w:cs="Arial"/>
                </w:rPr>
                <w:t>BNF</w:t>
              </w:r>
            </w:hyperlink>
            <w:r w:rsidRPr="00FB404F">
              <w:rPr>
                <w:rFonts w:cs="Arial"/>
              </w:rPr>
              <w:t xml:space="preserve"> &amp; </w:t>
            </w:r>
            <w:hyperlink r:id="rId17" w:history="1">
              <w:r w:rsidRPr="00F34C5E">
                <w:rPr>
                  <w:rStyle w:val="Hyperlink"/>
                  <w:rFonts w:cs="Arial"/>
                </w:rPr>
                <w:t>SPC</w:t>
              </w:r>
            </w:hyperlink>
            <w:r w:rsidRPr="00FB404F">
              <w:rPr>
                <w:rFonts w:cs="Arial"/>
              </w:rPr>
              <w:t xml:space="preserve"> for comprehensive information.</w:t>
            </w:r>
          </w:p>
          <w:p w14:paraId="004A4D13" w14:textId="77777777" w:rsidR="00FB404F" w:rsidRDefault="00FB404F" w:rsidP="00FB404F">
            <w:pPr>
              <w:rPr>
                <w:rFonts w:cs="Arial"/>
              </w:rPr>
            </w:pPr>
          </w:p>
          <w:p w14:paraId="5074DDE0" w14:textId="77777777" w:rsidR="00FB404F" w:rsidRDefault="00FB404F" w:rsidP="00FB404F">
            <w:pPr>
              <w:rPr>
                <w:rFonts w:cs="Arial"/>
                <w:b/>
                <w:bCs/>
              </w:rPr>
            </w:pPr>
            <w:r>
              <w:rPr>
                <w:rFonts w:cs="Arial"/>
                <w:b/>
                <w:bCs/>
              </w:rPr>
              <w:t xml:space="preserve">Contraindications: </w:t>
            </w:r>
          </w:p>
          <w:p w14:paraId="1226F176" w14:textId="36A2381F" w:rsidR="001A51F3" w:rsidRPr="001A51F3" w:rsidRDefault="001A51F3" w:rsidP="001A51F3">
            <w:pPr>
              <w:pStyle w:val="ListParagraph"/>
              <w:numPr>
                <w:ilvl w:val="0"/>
                <w:numId w:val="30"/>
              </w:numPr>
              <w:rPr>
                <w:rFonts w:cs="Arial"/>
              </w:rPr>
            </w:pPr>
            <w:r w:rsidRPr="001A51F3">
              <w:rPr>
                <w:rFonts w:cs="Arial"/>
              </w:rPr>
              <w:t>Sinus bradycardia and sino-atrial heart block</w:t>
            </w:r>
            <w:r w:rsidR="0002435C">
              <w:rPr>
                <w:rFonts w:cs="Arial"/>
              </w:rPr>
              <w:t>;</w:t>
            </w:r>
            <w:r w:rsidR="007F76B7">
              <w:rPr>
                <w:rFonts w:cs="Arial"/>
              </w:rPr>
              <w:t xml:space="preserve"> </w:t>
            </w:r>
            <w:r w:rsidRPr="001A51F3">
              <w:rPr>
                <w:rFonts w:cs="Arial"/>
              </w:rPr>
              <w:t>severe conduction disturbances (high grade AV block, bifascicular or trifascicular block)</w:t>
            </w:r>
            <w:r w:rsidR="0002435C">
              <w:rPr>
                <w:rFonts w:cs="Arial"/>
              </w:rPr>
              <w:t xml:space="preserve"> or</w:t>
            </w:r>
            <w:r w:rsidRPr="001A51F3">
              <w:rPr>
                <w:rFonts w:cs="Arial"/>
              </w:rPr>
              <w:t xml:space="preserve"> sinus node disease (unless pacemaker fitted)</w:t>
            </w:r>
          </w:p>
          <w:p w14:paraId="7B0A072B" w14:textId="5ACC0E18" w:rsidR="001A51F3" w:rsidRPr="001A51F3" w:rsidRDefault="001A51F3" w:rsidP="001A51F3">
            <w:pPr>
              <w:pStyle w:val="ListParagraph"/>
              <w:numPr>
                <w:ilvl w:val="0"/>
                <w:numId w:val="30"/>
              </w:numPr>
              <w:rPr>
                <w:rFonts w:cs="Arial"/>
              </w:rPr>
            </w:pPr>
            <w:r w:rsidRPr="001A51F3">
              <w:rPr>
                <w:rFonts w:cs="Arial"/>
              </w:rPr>
              <w:t xml:space="preserve">History of thyroid dysfunction. Use of amiodarone may be considered in patients who are euthyroid, after case-by-case assessment of the risks and benefits and with appropriate monitoring. </w:t>
            </w:r>
          </w:p>
          <w:p w14:paraId="4AC1EB84" w14:textId="3C114854" w:rsidR="001A51F3" w:rsidRPr="001A51F3" w:rsidRDefault="001A51F3" w:rsidP="001A51F3">
            <w:pPr>
              <w:pStyle w:val="ListParagraph"/>
              <w:numPr>
                <w:ilvl w:val="0"/>
                <w:numId w:val="30"/>
              </w:numPr>
              <w:rPr>
                <w:rFonts w:cs="Arial"/>
              </w:rPr>
            </w:pPr>
            <w:r w:rsidRPr="001A51F3">
              <w:rPr>
                <w:rFonts w:cs="Arial"/>
              </w:rPr>
              <w:t>Known hypersensitivity to iodine or amiodarone, or any of the excipients (including patients with galactose intolerance, Lapp lactase deficiency or glucose-galactose malabsorption)</w:t>
            </w:r>
          </w:p>
          <w:p w14:paraId="0C74FA34" w14:textId="084FDFF2" w:rsidR="001A51F3" w:rsidRPr="001A51F3" w:rsidRDefault="001A51F3" w:rsidP="001A51F3">
            <w:pPr>
              <w:pStyle w:val="ListParagraph"/>
              <w:numPr>
                <w:ilvl w:val="0"/>
                <w:numId w:val="30"/>
              </w:numPr>
              <w:rPr>
                <w:rFonts w:cs="Arial"/>
              </w:rPr>
            </w:pPr>
            <w:r w:rsidRPr="001A51F3">
              <w:rPr>
                <w:rFonts w:cs="Arial"/>
              </w:rPr>
              <w:t xml:space="preserve">Concurrent use with </w:t>
            </w:r>
            <w:r w:rsidR="0002435C">
              <w:rPr>
                <w:rFonts w:cs="Arial"/>
              </w:rPr>
              <w:t xml:space="preserve">certain </w:t>
            </w:r>
            <w:r w:rsidRPr="001A51F3">
              <w:rPr>
                <w:rFonts w:cs="Arial"/>
              </w:rPr>
              <w:t>medicines that may prolong the QT interval or increase the risk of Torsades de Pointes</w:t>
            </w:r>
            <w:r w:rsidR="00FE3EEF">
              <w:rPr>
                <w:rFonts w:cs="Arial"/>
              </w:rPr>
              <w:t xml:space="preserve">, </w:t>
            </w:r>
            <w:r w:rsidR="00FE3EEF" w:rsidRPr="00FE3EEF">
              <w:rPr>
                <w:rFonts w:cs="Arial"/>
              </w:rPr>
              <w:t>e.g. moxifloxacin, Class Ia anti-arrhythmic drugs such as quinidine, class III anti-arrhythmic drugs such as sotalol, intravenous erythromycin, co-trimoxazole or pentamidine injection, some anti-psychotics e.g. chlorpromazine, fluphenazine, pimozide, haloperidol, amisulpride, lithium and tricyclic anti-depressants e.g. doxepin, amitriptyline, certain antihistamines e.g. terfenadine, anti-malarials e.g. quinine, mefloquine, chloroquine</w:t>
            </w:r>
          </w:p>
          <w:p w14:paraId="7EAF48CC" w14:textId="7EA4000D" w:rsidR="001A51F3" w:rsidRPr="001A51F3" w:rsidRDefault="001A51F3" w:rsidP="001A51F3">
            <w:pPr>
              <w:pStyle w:val="ListParagraph"/>
              <w:numPr>
                <w:ilvl w:val="0"/>
                <w:numId w:val="30"/>
              </w:numPr>
              <w:rPr>
                <w:rFonts w:cs="Arial"/>
              </w:rPr>
            </w:pPr>
            <w:r w:rsidRPr="001A51F3">
              <w:rPr>
                <w:rFonts w:cs="Arial"/>
              </w:rPr>
              <w:t>Pregnancy - except in exceptional circumstances (</w:t>
            </w:r>
            <w:r w:rsidR="00DE2078">
              <w:rPr>
                <w:rFonts w:cs="Arial"/>
              </w:rPr>
              <w:t xml:space="preserve">not appropriate for shared care, </w:t>
            </w:r>
            <w:r w:rsidRPr="001A51F3">
              <w:rPr>
                <w:rFonts w:cs="Arial"/>
              </w:rPr>
              <w:t xml:space="preserve">see </w:t>
            </w:r>
            <w:hyperlink w:anchor="twelve_pregnancy" w:history="1">
              <w:r w:rsidRPr="001A51F3">
                <w:rPr>
                  <w:rStyle w:val="Hyperlink"/>
                  <w:rFonts w:cs="Arial"/>
                </w:rPr>
                <w:t>section 12</w:t>
              </w:r>
            </w:hyperlink>
            <w:r w:rsidRPr="001A51F3">
              <w:rPr>
                <w:rFonts w:cs="Arial"/>
              </w:rPr>
              <w:t>)</w:t>
            </w:r>
          </w:p>
          <w:p w14:paraId="37311776" w14:textId="627DFFB2" w:rsidR="00FB404F" w:rsidRDefault="001A51F3" w:rsidP="001A51F3">
            <w:pPr>
              <w:pStyle w:val="ListParagraph"/>
              <w:numPr>
                <w:ilvl w:val="0"/>
                <w:numId w:val="30"/>
              </w:numPr>
              <w:rPr>
                <w:rFonts w:cs="Arial"/>
              </w:rPr>
            </w:pPr>
            <w:r w:rsidRPr="001A51F3">
              <w:rPr>
                <w:rFonts w:cs="Arial"/>
              </w:rPr>
              <w:t>Breastfeeding</w:t>
            </w:r>
          </w:p>
          <w:p w14:paraId="2C678D4C" w14:textId="77777777" w:rsidR="001A51F3" w:rsidRPr="001A51F3" w:rsidRDefault="001A51F3" w:rsidP="001A51F3">
            <w:pPr>
              <w:rPr>
                <w:rFonts w:cs="Arial"/>
              </w:rPr>
            </w:pPr>
          </w:p>
          <w:p w14:paraId="14A2CAB8" w14:textId="77777777" w:rsidR="00FB404F" w:rsidRPr="00FB404F" w:rsidRDefault="00FB404F" w:rsidP="00FB404F">
            <w:pPr>
              <w:rPr>
                <w:rFonts w:cs="Arial"/>
                <w:b/>
                <w:bCs/>
              </w:rPr>
            </w:pPr>
            <w:r w:rsidRPr="00FB404F">
              <w:rPr>
                <w:rFonts w:cs="Arial"/>
                <w:b/>
                <w:bCs/>
              </w:rPr>
              <w:t>Cautions:</w:t>
            </w:r>
          </w:p>
          <w:p w14:paraId="456B90AA" w14:textId="47ACC4C8" w:rsidR="00FE3EEF" w:rsidRPr="00FE3EEF" w:rsidRDefault="001A51F3" w:rsidP="00FE3EEF">
            <w:pPr>
              <w:pStyle w:val="ListParagraph"/>
              <w:numPr>
                <w:ilvl w:val="0"/>
                <w:numId w:val="31"/>
              </w:numPr>
              <w:rPr>
                <w:rFonts w:cs="Arial"/>
              </w:rPr>
            </w:pPr>
            <w:r w:rsidRPr="001A51F3">
              <w:rPr>
                <w:rFonts w:cs="Arial"/>
              </w:rPr>
              <w:t>Amiodarone can cause serious adverse reactions affecting the eyes, heart, lung, liver, thyroid gland, skin and peripheral nervous system; it is subject to a number of cautions. Because these reactions may be delayed, patients on long-term treatment should be carefully supervised. As undesirable effects are usually dose-related, the minimum effective maintenance dose should be given.</w:t>
            </w:r>
            <w:r w:rsidR="00FE3EEF">
              <w:rPr>
                <w:rFonts w:cs="Arial"/>
              </w:rPr>
              <w:t xml:space="preserve"> See </w:t>
            </w:r>
            <w:hyperlink r:id="rId18" w:history="1">
              <w:r w:rsidR="00FE3EEF">
                <w:rPr>
                  <w:rStyle w:val="Hyperlink"/>
                  <w:rFonts w:cs="Arial"/>
                </w:rPr>
                <w:t>MHRA advice</w:t>
              </w:r>
            </w:hyperlink>
            <w:r w:rsidR="00FE3EEF">
              <w:rPr>
                <w:rFonts w:cs="Arial"/>
              </w:rPr>
              <w:t>.</w:t>
            </w:r>
          </w:p>
        </w:tc>
      </w:tr>
      <w:tr w:rsidR="00F132AA" w:rsidRPr="00F321FC" w14:paraId="11E3D793" w14:textId="77777777" w:rsidTr="0051526F">
        <w:tc>
          <w:tcPr>
            <w:tcW w:w="2204" w:type="dxa"/>
          </w:tcPr>
          <w:p w14:paraId="1E8C8FBF" w14:textId="3ED10190" w:rsidR="00F132AA" w:rsidRPr="00F321FC" w:rsidRDefault="0098487D" w:rsidP="0098487D">
            <w:pPr>
              <w:pStyle w:val="Heading2"/>
              <w:rPr>
                <w:rFonts w:cs="Arial"/>
              </w:rPr>
            </w:pPr>
            <w:bookmarkStart w:id="16" w:name="nine_interactions"/>
            <w:bookmarkStart w:id="17" w:name="_Toc149231793"/>
            <w:r w:rsidRPr="00F321FC">
              <w:rPr>
                <w:rFonts w:cs="Arial"/>
              </w:rPr>
              <w:lastRenderedPageBreak/>
              <w:t>Significant drug interactions</w:t>
            </w:r>
            <w:bookmarkEnd w:id="16"/>
            <w:bookmarkEnd w:id="17"/>
          </w:p>
        </w:tc>
        <w:tc>
          <w:tcPr>
            <w:tcW w:w="8257" w:type="dxa"/>
          </w:tcPr>
          <w:p w14:paraId="112C1849" w14:textId="36A29D3F" w:rsidR="00F132AA" w:rsidRDefault="00FB404F" w:rsidP="00FB404F">
            <w:pPr>
              <w:rPr>
                <w:rFonts w:cs="Arial"/>
              </w:rPr>
            </w:pPr>
            <w:r w:rsidRPr="00FB404F">
              <w:rPr>
                <w:rFonts w:cs="Arial"/>
              </w:rPr>
              <w:t xml:space="preserve">The following list is not exhaustive. Please see </w:t>
            </w:r>
            <w:hyperlink r:id="rId19" w:history="1">
              <w:r w:rsidRPr="007F76B7">
                <w:rPr>
                  <w:rStyle w:val="Hyperlink"/>
                  <w:rFonts w:cs="Arial"/>
                </w:rPr>
                <w:t>BNF</w:t>
              </w:r>
            </w:hyperlink>
            <w:r w:rsidRPr="00FB404F">
              <w:rPr>
                <w:rFonts w:cs="Arial"/>
              </w:rPr>
              <w:t xml:space="preserve"> </w:t>
            </w:r>
            <w:r>
              <w:rPr>
                <w:rFonts w:cs="Arial"/>
              </w:rPr>
              <w:t>&amp;</w:t>
            </w:r>
            <w:r w:rsidRPr="00FB404F">
              <w:rPr>
                <w:rFonts w:cs="Arial"/>
              </w:rPr>
              <w:t xml:space="preserve"> </w:t>
            </w:r>
            <w:hyperlink r:id="rId20" w:history="1">
              <w:r w:rsidRPr="007F76B7">
                <w:rPr>
                  <w:rStyle w:val="Hyperlink"/>
                  <w:rFonts w:cs="Arial"/>
                </w:rPr>
                <w:t>SPC</w:t>
              </w:r>
            </w:hyperlink>
            <w:r w:rsidRPr="00FB404F">
              <w:rPr>
                <w:rFonts w:cs="Arial"/>
              </w:rPr>
              <w:t xml:space="preserve"> for comprehensive information and recommended management.</w:t>
            </w:r>
          </w:p>
          <w:p w14:paraId="522DFD7A" w14:textId="77777777" w:rsidR="00FB404F" w:rsidRDefault="00FB404F" w:rsidP="00FB404F">
            <w:pPr>
              <w:rPr>
                <w:rFonts w:cs="Arial"/>
              </w:rPr>
            </w:pPr>
          </w:p>
          <w:p w14:paraId="527A5E77" w14:textId="126692A2" w:rsidR="001A51F3" w:rsidRDefault="001A51F3" w:rsidP="001A51F3">
            <w:pPr>
              <w:rPr>
                <w:rFonts w:cs="Arial"/>
                <w:b/>
                <w:bCs/>
              </w:rPr>
            </w:pPr>
            <w:r w:rsidRPr="001A51F3">
              <w:rPr>
                <w:rFonts w:cs="Arial"/>
                <w:b/>
                <w:bCs/>
              </w:rPr>
              <w:t xml:space="preserve">Amiodarone is associated with a large number of interactions, some of which are significant enough to contraindicate concurrent use, require dose adjustment and/or additional monitoring (see </w:t>
            </w:r>
            <w:hyperlink w:anchor="eight_cautions_cx" w:history="1">
              <w:r w:rsidRPr="001A51F3">
                <w:rPr>
                  <w:rStyle w:val="Hyperlink"/>
                  <w:rFonts w:cs="Arial"/>
                  <w:b/>
                  <w:bCs/>
                </w:rPr>
                <w:t xml:space="preserve">section </w:t>
              </w:r>
              <w:r w:rsidR="00F34C5E">
                <w:rPr>
                  <w:rStyle w:val="Hyperlink"/>
                  <w:rFonts w:cs="Arial"/>
                  <w:b/>
                  <w:bCs/>
                </w:rPr>
                <w:t>8</w:t>
              </w:r>
            </w:hyperlink>
            <w:r w:rsidRPr="001A51F3">
              <w:rPr>
                <w:rFonts w:cs="Arial"/>
                <w:b/>
                <w:bCs/>
              </w:rPr>
              <w:t>).</w:t>
            </w:r>
            <w:r w:rsidR="00665B7C" w:rsidRPr="00665B7C">
              <w:rPr>
                <w:rFonts w:cs="Arial"/>
                <w:b/>
                <w:bCs/>
              </w:rPr>
              <w:t xml:space="preserve"> Due to the long half-life of amiodarone, there is potential for drug interactions to occur for several weeks/months after treatment has been discontinued.</w:t>
            </w:r>
          </w:p>
          <w:p w14:paraId="782195CC" w14:textId="1B4CC8C6" w:rsidR="00F34C5E" w:rsidRPr="001A51F3" w:rsidRDefault="00763A33" w:rsidP="001A51F3">
            <w:pPr>
              <w:rPr>
                <w:rFonts w:cs="Arial"/>
                <w:b/>
                <w:bCs/>
              </w:rPr>
            </w:pPr>
            <w:r w:rsidRPr="00FE3EEF">
              <w:rPr>
                <w:rFonts w:cs="Arial"/>
              </w:rPr>
              <w:t xml:space="preserve">See </w:t>
            </w:r>
            <w:hyperlink r:id="rId21" w:history="1">
              <w:r w:rsidRPr="00FE3EEF">
                <w:rPr>
                  <w:rStyle w:val="Hyperlink"/>
                  <w:rFonts w:cs="Arial"/>
                </w:rPr>
                <w:t>SPC</w:t>
              </w:r>
            </w:hyperlink>
            <w:r w:rsidRPr="00FE3EEF">
              <w:rPr>
                <w:rFonts w:cs="Arial"/>
              </w:rPr>
              <w:t xml:space="preserve"> for information on managing interactions.</w:t>
            </w:r>
          </w:p>
          <w:p w14:paraId="7B25705E" w14:textId="77777777" w:rsidR="00763A33" w:rsidRDefault="00763A33" w:rsidP="001A51F3">
            <w:pPr>
              <w:rPr>
                <w:rFonts w:cs="Arial"/>
              </w:rPr>
            </w:pPr>
          </w:p>
          <w:p w14:paraId="3B86CE07" w14:textId="1AFD1BEF" w:rsidR="001A51F3" w:rsidRPr="001A51F3" w:rsidRDefault="001A51F3" w:rsidP="001A51F3">
            <w:pPr>
              <w:rPr>
                <w:rFonts w:cs="Arial"/>
              </w:rPr>
            </w:pPr>
            <w:r w:rsidRPr="001A51F3">
              <w:rPr>
                <w:rFonts w:cs="Arial"/>
              </w:rPr>
              <w:t>Amiodarone is an enzyme inhibitor and can increase exposure to a number of medicines including:</w:t>
            </w:r>
          </w:p>
          <w:p w14:paraId="3D9AB15E" w14:textId="36A4FC17" w:rsidR="001A51F3" w:rsidRPr="00F34C5E" w:rsidRDefault="001A51F3" w:rsidP="00F34C5E">
            <w:pPr>
              <w:pStyle w:val="ListParagraph"/>
              <w:numPr>
                <w:ilvl w:val="0"/>
                <w:numId w:val="31"/>
              </w:numPr>
              <w:rPr>
                <w:rFonts w:cs="Arial"/>
              </w:rPr>
            </w:pPr>
            <w:r w:rsidRPr="00F34C5E">
              <w:rPr>
                <w:rFonts w:cs="Arial"/>
              </w:rPr>
              <w:t>P-glycoprotein (PgP) substrates (e.g. digoxin, dabigatran)</w:t>
            </w:r>
          </w:p>
          <w:p w14:paraId="72934048" w14:textId="14ACEA0A" w:rsidR="001A51F3" w:rsidRPr="00F34C5E" w:rsidRDefault="001A51F3" w:rsidP="00F34C5E">
            <w:pPr>
              <w:pStyle w:val="ListParagraph"/>
              <w:numPr>
                <w:ilvl w:val="0"/>
                <w:numId w:val="31"/>
              </w:numPr>
              <w:rPr>
                <w:rFonts w:cs="Arial"/>
              </w:rPr>
            </w:pPr>
            <w:r w:rsidRPr="00F34C5E">
              <w:rPr>
                <w:rFonts w:cs="Arial"/>
              </w:rPr>
              <w:t>CYP2C9 substrates (e.g. warfarin, phenytoin)</w:t>
            </w:r>
          </w:p>
          <w:p w14:paraId="161601E5" w14:textId="04431101" w:rsidR="001A51F3" w:rsidRPr="00F34C5E" w:rsidRDefault="001A51F3" w:rsidP="00F34C5E">
            <w:pPr>
              <w:pStyle w:val="ListParagraph"/>
              <w:numPr>
                <w:ilvl w:val="0"/>
                <w:numId w:val="31"/>
              </w:numPr>
              <w:rPr>
                <w:rFonts w:cs="Arial"/>
              </w:rPr>
            </w:pPr>
            <w:r w:rsidRPr="00F34C5E">
              <w:rPr>
                <w:rFonts w:cs="Arial"/>
              </w:rPr>
              <w:t>CYP3A4 substrates (e.g. ciclosporin, statins, fentanyl, sildenafil, colchicine)</w:t>
            </w:r>
          </w:p>
          <w:p w14:paraId="65536BDB" w14:textId="62C1B216" w:rsidR="001A51F3" w:rsidRPr="00F34C5E" w:rsidRDefault="001A51F3" w:rsidP="00F34C5E">
            <w:pPr>
              <w:pStyle w:val="ListParagraph"/>
              <w:numPr>
                <w:ilvl w:val="0"/>
                <w:numId w:val="31"/>
              </w:numPr>
              <w:rPr>
                <w:rFonts w:cs="Arial"/>
              </w:rPr>
            </w:pPr>
            <w:r w:rsidRPr="00F34C5E">
              <w:rPr>
                <w:rFonts w:cs="Arial"/>
              </w:rPr>
              <w:t>CYP2D6 substrates (e.g. flecainide)</w:t>
            </w:r>
          </w:p>
          <w:p w14:paraId="4C5D9D34" w14:textId="77777777" w:rsidR="001A51F3" w:rsidRPr="001A51F3" w:rsidRDefault="001A51F3" w:rsidP="001A51F3">
            <w:pPr>
              <w:rPr>
                <w:rFonts w:cs="Arial"/>
              </w:rPr>
            </w:pPr>
          </w:p>
          <w:p w14:paraId="3E64BC44" w14:textId="77777777" w:rsidR="001A51F3" w:rsidRPr="001A51F3" w:rsidRDefault="001A51F3" w:rsidP="001A51F3">
            <w:pPr>
              <w:rPr>
                <w:rFonts w:cs="Arial"/>
              </w:rPr>
            </w:pPr>
            <w:r w:rsidRPr="001A51F3">
              <w:rPr>
                <w:rFonts w:cs="Arial"/>
              </w:rPr>
              <w:lastRenderedPageBreak/>
              <w:t>Amiodarone interacts with other medicines that:</w:t>
            </w:r>
          </w:p>
          <w:p w14:paraId="39975784" w14:textId="53B8C6FA" w:rsidR="001A51F3" w:rsidRPr="00FE3EEF" w:rsidRDefault="001A51F3" w:rsidP="00FE3EEF">
            <w:pPr>
              <w:pStyle w:val="ListParagraph"/>
              <w:numPr>
                <w:ilvl w:val="0"/>
                <w:numId w:val="32"/>
              </w:numPr>
              <w:rPr>
                <w:rFonts w:cs="Arial"/>
              </w:rPr>
            </w:pPr>
            <w:r w:rsidRPr="00FE3EEF">
              <w:rPr>
                <w:rFonts w:cs="Arial"/>
              </w:rPr>
              <w:t xml:space="preserve">prolong </w:t>
            </w:r>
            <w:r w:rsidR="00FE3EEF" w:rsidRPr="00FE3EEF">
              <w:rPr>
                <w:rFonts w:cs="Arial"/>
              </w:rPr>
              <w:t xml:space="preserve">the </w:t>
            </w:r>
            <w:r w:rsidRPr="00FE3EEF">
              <w:rPr>
                <w:rFonts w:cs="Arial"/>
              </w:rPr>
              <w:t xml:space="preserve">QT </w:t>
            </w:r>
            <w:r w:rsidR="00FE3EEF" w:rsidRPr="00FE3EEF">
              <w:rPr>
                <w:rFonts w:cs="Arial"/>
              </w:rPr>
              <w:t xml:space="preserve">interval </w:t>
            </w:r>
            <w:r w:rsidRPr="00FE3EEF">
              <w:rPr>
                <w:rFonts w:cs="Arial"/>
              </w:rPr>
              <w:t xml:space="preserve">(e.g. clarithromycin, </w:t>
            </w:r>
            <w:r w:rsidR="00FE3EEF" w:rsidRPr="00FE3EEF">
              <w:rPr>
                <w:rFonts w:cs="Arial"/>
              </w:rPr>
              <w:t>fluoroquinolones</w:t>
            </w:r>
            <w:r w:rsidR="00167AD4">
              <w:rPr>
                <w:rFonts w:cs="Arial"/>
              </w:rPr>
              <w:t>, citalopram and escitalopram</w:t>
            </w:r>
            <w:r w:rsidRPr="00FE3EEF">
              <w:rPr>
                <w:rFonts w:cs="Arial"/>
              </w:rPr>
              <w:t>)</w:t>
            </w:r>
            <w:r w:rsidR="005529B0" w:rsidRPr="00FE3EEF">
              <w:rPr>
                <w:rFonts w:cs="Arial"/>
              </w:rPr>
              <w:t xml:space="preserve"> </w:t>
            </w:r>
            <w:r w:rsidR="005529B0">
              <w:rPr>
                <w:rFonts w:cs="Arial"/>
              </w:rPr>
              <w:t>and increase the risk of</w:t>
            </w:r>
            <w:r w:rsidR="005529B0" w:rsidRPr="00FE3EEF">
              <w:rPr>
                <w:rFonts w:cs="Arial"/>
              </w:rPr>
              <w:t xml:space="preserve"> Torsades de Pointes (see </w:t>
            </w:r>
            <w:hyperlink w:anchor="eight_cautions_cx" w:history="1">
              <w:r w:rsidR="005529B0" w:rsidRPr="00254486">
                <w:rPr>
                  <w:rStyle w:val="Hyperlink"/>
                </w:rPr>
                <w:t>section 8</w:t>
              </w:r>
            </w:hyperlink>
            <w:r w:rsidR="005529B0" w:rsidRPr="00FE3EEF">
              <w:rPr>
                <w:rFonts w:cs="Arial"/>
              </w:rPr>
              <w:t>)</w:t>
            </w:r>
          </w:p>
          <w:p w14:paraId="7E05427C" w14:textId="4E68F370" w:rsidR="001A51F3" w:rsidRPr="00F34C5E" w:rsidRDefault="001A51F3" w:rsidP="00F34C5E">
            <w:pPr>
              <w:pStyle w:val="ListParagraph"/>
              <w:numPr>
                <w:ilvl w:val="0"/>
                <w:numId w:val="32"/>
              </w:numPr>
              <w:rPr>
                <w:rFonts w:cs="Arial"/>
              </w:rPr>
            </w:pPr>
            <w:r w:rsidRPr="00F34C5E">
              <w:rPr>
                <w:rFonts w:cs="Arial"/>
              </w:rPr>
              <w:t>lower heart rate (e.g. beta-blockers, calcium channel blockers)</w:t>
            </w:r>
            <w:r w:rsidR="00D26B2E">
              <w:rPr>
                <w:rFonts w:cs="Arial"/>
              </w:rPr>
              <w:t xml:space="preserve">. </w:t>
            </w:r>
            <w:r w:rsidR="001A23AA">
              <w:rPr>
                <w:rFonts w:cs="Arial"/>
              </w:rPr>
              <w:t>C</w:t>
            </w:r>
            <w:r w:rsidR="001A23AA" w:rsidRPr="001A23AA">
              <w:rPr>
                <w:rFonts w:cs="Arial"/>
              </w:rPr>
              <w:t>ombined use only under the recommendation and supervision of a specialist</w:t>
            </w:r>
            <w:r w:rsidR="001A23AA">
              <w:rPr>
                <w:rFonts w:cs="Arial"/>
              </w:rPr>
              <w:t xml:space="preserve"> </w:t>
            </w:r>
          </w:p>
          <w:p w14:paraId="2AD47F97" w14:textId="1A4ACD43" w:rsidR="001A51F3" w:rsidRPr="00F34C5E" w:rsidRDefault="001A51F3" w:rsidP="00F34C5E">
            <w:pPr>
              <w:pStyle w:val="ListParagraph"/>
              <w:numPr>
                <w:ilvl w:val="0"/>
                <w:numId w:val="32"/>
              </w:numPr>
              <w:rPr>
                <w:rFonts w:cs="Arial"/>
              </w:rPr>
            </w:pPr>
            <w:r w:rsidRPr="00F34C5E">
              <w:rPr>
                <w:rFonts w:cs="Arial"/>
              </w:rPr>
              <w:t>induce hypokalaemia (e.g. diuretics, stimulant laxatives</w:t>
            </w:r>
            <w:r w:rsidR="003C542A">
              <w:rPr>
                <w:rFonts w:cs="Arial"/>
              </w:rPr>
              <w:t xml:space="preserve">, </w:t>
            </w:r>
            <w:r w:rsidR="003C542A" w:rsidRPr="00F34C5E">
              <w:rPr>
                <w:rFonts w:cs="Arial"/>
              </w:rPr>
              <w:t>systemic corticosteroids</w:t>
            </w:r>
            <w:r w:rsidRPr="00F34C5E">
              <w:rPr>
                <w:rFonts w:cs="Arial"/>
              </w:rPr>
              <w:t>)</w:t>
            </w:r>
            <w:r w:rsidR="004358D3">
              <w:rPr>
                <w:rFonts w:cs="Arial"/>
              </w:rPr>
              <w:t>. Caution or avoid concurrent use.</w:t>
            </w:r>
          </w:p>
          <w:p w14:paraId="352F971A" w14:textId="517A068B" w:rsidR="001A51F3" w:rsidRPr="00F34C5E" w:rsidRDefault="001A51F3" w:rsidP="00F34C5E">
            <w:pPr>
              <w:pStyle w:val="ListParagraph"/>
              <w:numPr>
                <w:ilvl w:val="0"/>
                <w:numId w:val="32"/>
              </w:numPr>
              <w:rPr>
                <w:rFonts w:cs="Arial"/>
              </w:rPr>
            </w:pPr>
            <w:r w:rsidRPr="00F34C5E">
              <w:rPr>
                <w:rFonts w:cs="Arial"/>
              </w:rPr>
              <w:t xml:space="preserve">induce hypomagnesaemia (e.g. </w:t>
            </w:r>
            <w:proofErr w:type="gramStart"/>
            <w:r w:rsidRPr="00F34C5E">
              <w:rPr>
                <w:rFonts w:cs="Arial"/>
              </w:rPr>
              <w:t>diuretics,</w:t>
            </w:r>
            <w:r w:rsidR="003C542A">
              <w:rPr>
                <w:rFonts w:cs="Arial"/>
              </w:rPr>
              <w:t>,</w:t>
            </w:r>
            <w:proofErr w:type="gramEnd"/>
            <w:r w:rsidR="003C542A">
              <w:rPr>
                <w:rFonts w:cs="Arial"/>
              </w:rPr>
              <w:t xml:space="preserve"> PPIs</w:t>
            </w:r>
            <w:r w:rsidRPr="00F34C5E">
              <w:rPr>
                <w:rFonts w:cs="Arial"/>
              </w:rPr>
              <w:t>)</w:t>
            </w:r>
            <w:r w:rsidR="004358D3">
              <w:rPr>
                <w:rFonts w:cs="Arial"/>
              </w:rPr>
              <w:t xml:space="preserve">. Caution or avoid concurrent use. </w:t>
            </w:r>
          </w:p>
          <w:p w14:paraId="7DC492B7" w14:textId="77777777" w:rsidR="001A51F3" w:rsidRPr="001A51F3" w:rsidRDefault="001A51F3" w:rsidP="001A51F3">
            <w:pPr>
              <w:rPr>
                <w:rFonts w:cs="Arial"/>
              </w:rPr>
            </w:pPr>
          </w:p>
          <w:p w14:paraId="793D6140" w14:textId="77777777" w:rsidR="001A51F3" w:rsidRPr="001A51F3" w:rsidRDefault="001A51F3" w:rsidP="001A51F3">
            <w:pPr>
              <w:rPr>
                <w:rFonts w:cs="Arial"/>
              </w:rPr>
            </w:pPr>
            <w:r w:rsidRPr="001A51F3">
              <w:rPr>
                <w:rFonts w:cs="Arial"/>
              </w:rPr>
              <w:t>Other interactions include:</w:t>
            </w:r>
          </w:p>
          <w:p w14:paraId="42C8CE4F" w14:textId="5D1664A3" w:rsidR="001A51F3" w:rsidRPr="00F34C5E" w:rsidRDefault="001A51F3" w:rsidP="00F34C5E">
            <w:pPr>
              <w:pStyle w:val="ListParagraph"/>
              <w:numPr>
                <w:ilvl w:val="0"/>
                <w:numId w:val="33"/>
              </w:numPr>
              <w:rPr>
                <w:rFonts w:cs="Arial"/>
              </w:rPr>
            </w:pPr>
            <w:r w:rsidRPr="00F34C5E">
              <w:rPr>
                <w:rFonts w:cs="Arial"/>
              </w:rPr>
              <w:t xml:space="preserve">CYP3A4 and CYP2C8 inhibitors: may increase exposure to amiodarone (e.g. cimetidine, letermovir, ritonavir, darunavir, grapefruit juice) </w:t>
            </w:r>
          </w:p>
          <w:p w14:paraId="336E783D" w14:textId="337A6953" w:rsidR="00FE3EEF" w:rsidRDefault="001A51F3" w:rsidP="00F34C5E">
            <w:pPr>
              <w:pStyle w:val="ListParagraph"/>
              <w:numPr>
                <w:ilvl w:val="0"/>
                <w:numId w:val="33"/>
              </w:numPr>
              <w:rPr>
                <w:rFonts w:cs="Arial"/>
              </w:rPr>
            </w:pPr>
            <w:r w:rsidRPr="00F34C5E">
              <w:rPr>
                <w:rFonts w:cs="Arial"/>
              </w:rPr>
              <w:t>Sofosbuvir with daclatasvir; sofosbuvir and ledipasvir</w:t>
            </w:r>
            <w:r w:rsidR="00FE3EEF">
              <w:rPr>
                <w:rFonts w:cs="Arial"/>
              </w:rPr>
              <w:t xml:space="preserve">: </w:t>
            </w:r>
            <w:r w:rsidR="00FE3EEF" w:rsidRPr="00FE3EEF">
              <w:rPr>
                <w:rFonts w:cs="Arial"/>
              </w:rPr>
              <w:t>risks of severe bradycardia and heart block when taken with amiodarone</w:t>
            </w:r>
            <w:r w:rsidR="00FE3EEF">
              <w:rPr>
                <w:rFonts w:cs="Arial"/>
              </w:rPr>
              <w:t xml:space="preserve">; see </w:t>
            </w:r>
            <w:hyperlink r:id="rId22" w:history="1">
              <w:r w:rsidR="00FE3EEF" w:rsidRPr="00FE3EEF">
                <w:rPr>
                  <w:rStyle w:val="Hyperlink"/>
                  <w:rFonts w:cs="Arial"/>
                </w:rPr>
                <w:t>MHRA advice</w:t>
              </w:r>
            </w:hyperlink>
            <w:r w:rsidR="00FE3EEF">
              <w:rPr>
                <w:rFonts w:cs="Arial"/>
              </w:rPr>
              <w:t xml:space="preserve">. </w:t>
            </w:r>
          </w:p>
          <w:p w14:paraId="2C9F827E" w14:textId="3B17729C" w:rsidR="001A51F3" w:rsidRPr="00DB690F" w:rsidRDefault="00FE3EEF" w:rsidP="00F34C5E">
            <w:pPr>
              <w:pStyle w:val="ListParagraph"/>
              <w:numPr>
                <w:ilvl w:val="0"/>
                <w:numId w:val="33"/>
              </w:numPr>
              <w:rPr>
                <w:rStyle w:val="Hyperlink"/>
                <w:rFonts w:cs="Arial"/>
                <w:color w:val="auto"/>
                <w:u w:val="none"/>
              </w:rPr>
            </w:pPr>
            <w:r>
              <w:rPr>
                <w:rFonts w:cs="Arial"/>
              </w:rPr>
              <w:t>S</w:t>
            </w:r>
            <w:r w:rsidR="001A51F3" w:rsidRPr="00F34C5E">
              <w:rPr>
                <w:rFonts w:cs="Arial"/>
              </w:rPr>
              <w:t>imeprevir with sofosbuvir: risk of severe bradycardia and heart block</w:t>
            </w:r>
            <w:r w:rsidR="00D60C82">
              <w:rPr>
                <w:rFonts w:cs="Arial"/>
              </w:rPr>
              <w:t xml:space="preserve"> -</w:t>
            </w:r>
            <w:r w:rsidR="001A51F3" w:rsidRPr="00F34C5E">
              <w:rPr>
                <w:rFonts w:cs="Arial"/>
              </w:rPr>
              <w:t xml:space="preserve"> see </w:t>
            </w:r>
            <w:hyperlink r:id="rId23" w:history="1">
              <w:r w:rsidR="001A51F3" w:rsidRPr="00F34C5E">
                <w:rPr>
                  <w:rStyle w:val="Hyperlink"/>
                  <w:rFonts w:cs="Arial"/>
                </w:rPr>
                <w:t>MHRA advice</w:t>
              </w:r>
            </w:hyperlink>
            <w:r w:rsidRPr="0064598F">
              <w:rPr>
                <w:rStyle w:val="Hyperlink"/>
                <w:rFonts w:cs="Arial"/>
                <w:color w:val="000000"/>
                <w:u w:val="none"/>
              </w:rPr>
              <w:t>.</w:t>
            </w:r>
          </w:p>
          <w:p w14:paraId="11735DD8" w14:textId="202B6654" w:rsidR="001A51F3" w:rsidRPr="00FE3EEF" w:rsidRDefault="001A51F3" w:rsidP="004049C5">
            <w:pPr>
              <w:pStyle w:val="ListParagraph"/>
              <w:ind w:left="360"/>
            </w:pPr>
          </w:p>
        </w:tc>
      </w:tr>
    </w:tbl>
    <w:p w14:paraId="56D8C659" w14:textId="77777777" w:rsidR="0051526F" w:rsidRDefault="0051526F"/>
    <w:p w14:paraId="5F2EB721" w14:textId="77777777" w:rsidR="0051526F" w:rsidRDefault="0051526F" w:rsidP="0051526F">
      <w:pPr>
        <w:pStyle w:val="Heading2"/>
        <w:rPr>
          <w:rFonts w:cs="Arial"/>
        </w:rPr>
      </w:pPr>
      <w:bookmarkStart w:id="18" w:name="_Toc149231794"/>
      <w:bookmarkStart w:id="19" w:name="sixteen_read_with"/>
      <w:r w:rsidRPr="00F321FC">
        <w:rPr>
          <w:rFonts w:cs="Arial"/>
        </w:rPr>
        <w:t>Adverse effects and management</w:t>
      </w:r>
      <w:bookmarkEnd w:id="18"/>
    </w:p>
    <w:bookmarkEnd w:id="19"/>
    <w:p w14:paraId="6542B4B6" w14:textId="7A2C1977" w:rsidR="00F51737" w:rsidRDefault="0051526F" w:rsidP="00F51737">
      <w:pPr>
        <w:rPr>
          <w:rStyle w:val="Hyperlink"/>
          <w:rFonts w:eastAsia="Calibri"/>
          <w:bCs/>
          <w:noProof/>
          <w:color w:val="000000"/>
          <w:u w:val="none"/>
          <w:lang w:eastAsia="en-GB"/>
        </w:rPr>
      </w:pPr>
      <w:r w:rsidRPr="00D32858">
        <w:rPr>
          <w:rFonts w:cs="Arial"/>
        </w:rPr>
        <w:t>As well as responding to absolute values in laboratory tests, a rapid change or a consistent trend in any value should prompt caution and extra vigilance</w:t>
      </w:r>
      <w:r>
        <w:rPr>
          <w:rFonts w:cs="Arial"/>
          <w:b/>
          <w:bCs/>
        </w:rPr>
        <w:t>.</w:t>
      </w:r>
      <w:r w:rsidR="00F51737" w:rsidRPr="00F51737">
        <w:rPr>
          <w:rStyle w:val="Hyperlink"/>
          <w:rFonts w:eastAsia="Calibri" w:cs="Arial"/>
          <w:bCs/>
          <w:noProof/>
          <w:color w:val="000000"/>
          <w:u w:val="none"/>
          <w:lang w:eastAsia="en-GB"/>
        </w:rPr>
        <w:t xml:space="preserve"> </w:t>
      </w:r>
      <w:r w:rsidR="00F51737" w:rsidRPr="0041687B">
        <w:rPr>
          <w:rStyle w:val="Hyperlink"/>
          <w:rFonts w:eastAsia="Calibri" w:cs="Arial"/>
          <w:bCs/>
          <w:noProof/>
          <w:color w:val="000000"/>
          <w:u w:val="none"/>
          <w:lang w:eastAsia="en-GB"/>
        </w:rPr>
        <w:t xml:space="preserve">For information on incidence of ADRs see relevant </w:t>
      </w:r>
      <w:hyperlink r:id="rId24" w:history="1">
        <w:r w:rsidR="00F51737" w:rsidRPr="00D13A1C">
          <w:rPr>
            <w:rStyle w:val="Hyperlink"/>
            <w:rFonts w:eastAsia="Calibri" w:cs="Arial"/>
            <w:bCs/>
            <w:noProof/>
            <w:lang w:eastAsia="en-GB"/>
          </w:rPr>
          <w:t>S</w:t>
        </w:r>
        <w:r w:rsidR="00F51737" w:rsidRPr="00D13A1C">
          <w:rPr>
            <w:rStyle w:val="Hyperlink"/>
            <w:rFonts w:eastAsia="Calibri"/>
            <w:bCs/>
            <w:noProof/>
            <w:lang w:eastAsia="en-GB"/>
          </w:rPr>
          <w:t>PCs</w:t>
        </w:r>
      </w:hyperlink>
      <w:r w:rsidR="00F51737" w:rsidRPr="00D13A1C">
        <w:rPr>
          <w:rStyle w:val="Hyperlink"/>
          <w:rFonts w:eastAsia="Calibri"/>
          <w:bCs/>
          <w:noProof/>
          <w:color w:val="000000"/>
          <w:u w:val="none"/>
          <w:lang w:eastAsia="en-GB"/>
        </w:rPr>
        <w:t>.</w:t>
      </w:r>
    </w:p>
    <w:p w14:paraId="41070243" w14:textId="4B1B878D" w:rsidR="0051526F" w:rsidRDefault="0051526F" w:rsidP="0051526F">
      <w:pPr>
        <w:spacing w:after="120"/>
        <w:rPr>
          <w:rFonts w:cs="Arial"/>
          <w:b/>
          <w:bCs/>
        </w:rPr>
      </w:pPr>
    </w:p>
    <w:p w14:paraId="338E7A1F" w14:textId="53E2DB61" w:rsidR="0051526F" w:rsidRPr="0041687B" w:rsidRDefault="0051526F" w:rsidP="0051526F">
      <w:pPr>
        <w:spacing w:after="120"/>
        <w:rPr>
          <w:rStyle w:val="Hyperlink"/>
          <w:rFonts w:eastAsia="Calibri" w:cs="Arial"/>
          <w:noProof/>
          <w:lang w:eastAsia="en-GB"/>
        </w:rPr>
      </w:pPr>
      <w:r w:rsidRPr="0041687B">
        <w:rPr>
          <w:rFonts w:cs="Arial"/>
          <w:b/>
          <w:bCs/>
        </w:rPr>
        <w:t xml:space="preserve">Any serious adverse reactions should be reported to the MHRA via the Yellow Card scheme. Visit </w:t>
      </w:r>
      <w:hyperlink r:id="rId25" w:tooltip="http://www.mhra.gov.uk/yellowcard" w:history="1">
        <w:r w:rsidRPr="0041687B">
          <w:rPr>
            <w:rStyle w:val="Hyperlink"/>
            <w:rFonts w:eastAsia="Calibri" w:cs="Arial"/>
            <w:noProof/>
            <w:lang w:eastAsia="en-GB"/>
          </w:rPr>
          <w:t>www.mhra.gov.uk/yellowcard</w:t>
        </w:r>
      </w:hyperlink>
      <w:r w:rsidRPr="0064598F">
        <w:rPr>
          <w:rStyle w:val="Hyperlink"/>
          <w:rFonts w:eastAsia="Calibri" w:cs="Arial"/>
          <w:noProof/>
          <w:color w:val="000000"/>
          <w:u w:val="none"/>
          <w:lang w:eastAsia="en-GB"/>
        </w:rPr>
        <w:t>.</w:t>
      </w:r>
    </w:p>
    <w:p w14:paraId="691B3BD8" w14:textId="77777777" w:rsidR="004532C6" w:rsidRDefault="004532C6" w:rsidP="0051526F">
      <w:pPr>
        <w:rPr>
          <w:rFonts w:cs="Arial"/>
          <w:b/>
          <w:bCs/>
        </w:rPr>
      </w:pPr>
    </w:p>
    <w:p w14:paraId="5D786E5B" w14:textId="24B2595E" w:rsidR="004532C6" w:rsidRDefault="004532C6" w:rsidP="0051526F">
      <w:r w:rsidRPr="00F34C5E">
        <w:rPr>
          <w:rFonts w:cs="Arial"/>
          <w:b/>
          <w:bCs/>
        </w:rPr>
        <w:t>The most serious toxicity with amiodarone is seen with long-term use and patients may therefore present first to primary care. Due to the long half-life of amiodarone</w:t>
      </w:r>
      <w:r>
        <w:rPr>
          <w:rFonts w:cs="Arial"/>
          <w:b/>
          <w:bCs/>
        </w:rPr>
        <w:t>,</w:t>
      </w:r>
      <w:r w:rsidRPr="00F34C5E">
        <w:rPr>
          <w:rFonts w:cs="Arial"/>
          <w:b/>
          <w:bCs/>
        </w:rPr>
        <w:t xml:space="preserve"> there is potential for adverse effects to occur for several weeks/months after treatment has been discontinued.</w:t>
      </w:r>
    </w:p>
    <w:tbl>
      <w:tblPr>
        <w:tblStyle w:val="TableGridLight1"/>
        <w:tblW w:w="10490" w:type="dxa"/>
        <w:tblInd w:w="-5" w:type="dxa"/>
        <w:tblCellMar>
          <w:top w:w="57" w:type="dxa"/>
          <w:bottom w:w="57" w:type="dxa"/>
        </w:tblCellMar>
        <w:tblLook w:val="0480" w:firstRow="0" w:lastRow="0" w:firstColumn="1" w:lastColumn="0" w:noHBand="0" w:noVBand="1"/>
      </w:tblPr>
      <w:tblGrid>
        <w:gridCol w:w="5245"/>
        <w:gridCol w:w="5245"/>
      </w:tblGrid>
      <w:tr w:rsidR="0051526F" w:rsidRPr="00F321FC" w14:paraId="7F454127" w14:textId="77777777" w:rsidTr="0051526F">
        <w:trPr>
          <w:cantSplit/>
          <w:tblHeader/>
        </w:trPr>
        <w:tc>
          <w:tcPr>
            <w:tcW w:w="5245" w:type="dxa"/>
            <w:shd w:val="clear" w:color="auto" w:fill="F2F2F2" w:themeFill="background1" w:themeFillShade="F2"/>
          </w:tcPr>
          <w:p w14:paraId="67AF18F0" w14:textId="01ED708F" w:rsidR="0051526F" w:rsidRPr="00BF174A" w:rsidRDefault="0051526F" w:rsidP="00BF174A">
            <w:pPr>
              <w:rPr>
                <w:b/>
                <w:bCs/>
                <w:u w:val="single"/>
              </w:rPr>
            </w:pPr>
            <w:r w:rsidRPr="00BF174A">
              <w:rPr>
                <w:b/>
                <w:bCs/>
                <w:u w:val="single"/>
              </w:rPr>
              <w:t>Adverse effect</w:t>
            </w:r>
          </w:p>
        </w:tc>
        <w:tc>
          <w:tcPr>
            <w:tcW w:w="5245" w:type="dxa"/>
            <w:shd w:val="clear" w:color="auto" w:fill="F2F2F2" w:themeFill="background1" w:themeFillShade="F2"/>
          </w:tcPr>
          <w:p w14:paraId="7FD73CD2" w14:textId="63413BED" w:rsidR="0051526F" w:rsidRPr="00BF174A" w:rsidRDefault="0051526F" w:rsidP="00BF174A">
            <w:pPr>
              <w:rPr>
                <w:b/>
                <w:bCs/>
                <w:u w:val="single"/>
              </w:rPr>
            </w:pPr>
            <w:r w:rsidRPr="00BF174A">
              <w:rPr>
                <w:b/>
                <w:bCs/>
                <w:u w:val="single"/>
              </w:rPr>
              <w:t>Management</w:t>
            </w:r>
          </w:p>
        </w:tc>
      </w:tr>
      <w:tr w:rsidR="0051526F" w:rsidRPr="00F321FC" w14:paraId="01268D2D" w14:textId="77777777" w:rsidTr="0051526F">
        <w:trPr>
          <w:cantSplit/>
          <w:trHeight w:val="48"/>
        </w:trPr>
        <w:tc>
          <w:tcPr>
            <w:tcW w:w="5245" w:type="dxa"/>
          </w:tcPr>
          <w:p w14:paraId="36F5AF4F" w14:textId="77777777" w:rsidR="0051526F" w:rsidRDefault="0051526F" w:rsidP="00F34C5E">
            <w:pPr>
              <w:rPr>
                <w:rFonts w:eastAsia="Times New Roman" w:cstheme="minorHAnsi"/>
                <w:lang w:eastAsia="en-GB"/>
              </w:rPr>
            </w:pPr>
            <w:r>
              <w:rPr>
                <w:rFonts w:eastAsia="Times New Roman" w:cstheme="minorHAnsi"/>
                <w:lang w:eastAsia="en-GB"/>
              </w:rPr>
              <w:t>Electrolyte deficiency:</w:t>
            </w:r>
          </w:p>
          <w:p w14:paraId="6A99262A" w14:textId="0A53389A" w:rsidR="0051526F" w:rsidRPr="00F321FC" w:rsidRDefault="0051526F" w:rsidP="00F34C5E">
            <w:pPr>
              <w:rPr>
                <w:rFonts w:cs="Arial"/>
              </w:rPr>
            </w:pPr>
            <w:r>
              <w:rPr>
                <w:rFonts w:eastAsia="Times New Roman" w:cstheme="minorHAnsi"/>
                <w:lang w:eastAsia="en-GB"/>
              </w:rPr>
              <w:t>hypokalaemia / hypomagnesaemia</w:t>
            </w:r>
          </w:p>
        </w:tc>
        <w:tc>
          <w:tcPr>
            <w:tcW w:w="5245" w:type="dxa"/>
          </w:tcPr>
          <w:p w14:paraId="45A5B53C" w14:textId="237AF373" w:rsidR="0051526F" w:rsidRPr="00F321FC" w:rsidRDefault="0051526F" w:rsidP="00F34C5E">
            <w:pPr>
              <w:rPr>
                <w:rFonts w:cs="Arial"/>
              </w:rPr>
            </w:pPr>
            <w:r>
              <w:rPr>
                <w:rFonts w:eastAsia="Times New Roman" w:cstheme="minorHAnsi"/>
                <w:lang w:eastAsia="en-GB"/>
              </w:rPr>
              <w:t xml:space="preserve">Continue amiodarone.  Correct deficiency as per local </w:t>
            </w:r>
            <w:r w:rsidR="00511857">
              <w:rPr>
                <w:rFonts w:eastAsia="Times New Roman" w:cstheme="minorHAnsi"/>
                <w:lang w:eastAsia="en-GB"/>
              </w:rPr>
              <w:t xml:space="preserve">or national </w:t>
            </w:r>
            <w:r>
              <w:rPr>
                <w:rFonts w:eastAsia="Times New Roman" w:cstheme="minorHAnsi"/>
                <w:lang w:eastAsia="en-GB"/>
              </w:rPr>
              <w:t>guidelines. Review other medicines that may be contributing to a deficiency.</w:t>
            </w:r>
          </w:p>
        </w:tc>
      </w:tr>
      <w:tr w:rsidR="0051526F" w:rsidRPr="00F321FC" w14:paraId="7CEAAB39" w14:textId="77777777" w:rsidTr="0051526F">
        <w:trPr>
          <w:cantSplit/>
          <w:trHeight w:val="48"/>
        </w:trPr>
        <w:tc>
          <w:tcPr>
            <w:tcW w:w="5245" w:type="dxa"/>
          </w:tcPr>
          <w:p w14:paraId="1BDF1231" w14:textId="77777777" w:rsidR="0051526F" w:rsidRDefault="0051526F" w:rsidP="00F34C5E">
            <w:pPr>
              <w:rPr>
                <w:rFonts w:eastAsia="Times New Roman" w:cstheme="minorHAnsi"/>
                <w:b/>
                <w:lang w:eastAsia="en-GB"/>
              </w:rPr>
            </w:pPr>
            <w:r>
              <w:rPr>
                <w:rFonts w:eastAsia="Times New Roman" w:cstheme="minorHAnsi"/>
                <w:b/>
                <w:lang w:eastAsia="en-GB"/>
              </w:rPr>
              <w:t>Cardiovascular effects:</w:t>
            </w:r>
          </w:p>
          <w:p w14:paraId="57C99FB1" w14:textId="77777777" w:rsidR="0051526F" w:rsidRDefault="0051526F" w:rsidP="00F34C5E">
            <w:pPr>
              <w:rPr>
                <w:rFonts w:eastAsia="Times New Roman" w:cstheme="minorHAnsi"/>
                <w:lang w:eastAsia="en-GB"/>
              </w:rPr>
            </w:pPr>
            <w:r>
              <w:rPr>
                <w:rFonts w:eastAsia="Times New Roman" w:cstheme="minorHAnsi"/>
                <w:lang w:eastAsia="en-GB"/>
              </w:rPr>
              <w:t>Bradycardia:</w:t>
            </w:r>
          </w:p>
          <w:p w14:paraId="2386555E" w14:textId="2B86DAB2" w:rsidR="0051526F" w:rsidRPr="0051526F" w:rsidRDefault="0051526F" w:rsidP="0051526F">
            <w:pPr>
              <w:spacing w:line="360" w:lineRule="atLeast"/>
              <w:rPr>
                <w:rFonts w:eastAsia="Times New Roman" w:cstheme="minorHAnsi"/>
                <w:lang w:eastAsia="en-GB"/>
              </w:rPr>
            </w:pPr>
            <w:r>
              <w:rPr>
                <w:rFonts w:eastAsia="Times New Roman" w:cstheme="minorHAnsi"/>
                <w:lang w:eastAsia="en-GB"/>
              </w:rPr>
              <w:t>H</w:t>
            </w:r>
            <w:r w:rsidRPr="00F34C5E">
              <w:rPr>
                <w:rFonts w:eastAsia="Times New Roman" w:cstheme="minorHAnsi"/>
                <w:lang w:eastAsia="en-GB"/>
              </w:rPr>
              <w:t>eart rate 50 - 60bpm without symptoms</w:t>
            </w:r>
          </w:p>
        </w:tc>
        <w:tc>
          <w:tcPr>
            <w:tcW w:w="5245" w:type="dxa"/>
          </w:tcPr>
          <w:p w14:paraId="645A7295" w14:textId="55F6E82C" w:rsidR="0051526F" w:rsidRPr="00F321FC" w:rsidRDefault="0051526F" w:rsidP="00F34C5E">
            <w:pPr>
              <w:rPr>
                <w:rFonts w:cs="Arial"/>
              </w:rPr>
            </w:pPr>
            <w:r>
              <w:rPr>
                <w:rFonts w:eastAsia="Times New Roman" w:cstheme="minorHAnsi"/>
                <w:lang w:eastAsia="en-GB"/>
              </w:rPr>
              <w:t>Continue amiodarone. Repeat monitoring. No action required unless symptoms develop or heart rate decreases further.</w:t>
            </w:r>
          </w:p>
        </w:tc>
      </w:tr>
      <w:tr w:rsidR="0051526F" w:rsidRPr="00F321FC" w14:paraId="3E83576D" w14:textId="77777777" w:rsidTr="0051526F">
        <w:trPr>
          <w:cantSplit/>
          <w:trHeight w:val="48"/>
        </w:trPr>
        <w:tc>
          <w:tcPr>
            <w:tcW w:w="5245" w:type="dxa"/>
          </w:tcPr>
          <w:p w14:paraId="08C53FEC" w14:textId="159811B2" w:rsidR="0051526F" w:rsidRPr="00F321FC" w:rsidRDefault="0051526F" w:rsidP="00F34C5E">
            <w:pPr>
              <w:rPr>
                <w:rFonts w:cs="Arial"/>
              </w:rPr>
            </w:pPr>
            <w:r>
              <w:rPr>
                <w:rFonts w:eastAsia="Times New Roman" w:cstheme="minorHAnsi"/>
                <w:lang w:eastAsia="en-GB"/>
              </w:rPr>
              <w:t xml:space="preserve">Heart </w:t>
            </w:r>
            <w:proofErr w:type="gramStart"/>
            <w:r>
              <w:rPr>
                <w:rFonts w:eastAsia="Times New Roman" w:cstheme="minorHAnsi"/>
                <w:lang w:eastAsia="en-GB"/>
              </w:rPr>
              <w:t>rate  50</w:t>
            </w:r>
            <w:proofErr w:type="gramEnd"/>
            <w:r>
              <w:rPr>
                <w:rFonts w:eastAsia="Times New Roman" w:cstheme="minorHAnsi"/>
                <w:lang w:eastAsia="en-GB"/>
              </w:rPr>
              <w:t>bpm</w:t>
            </w:r>
            <w:r w:rsidR="002B3ADD">
              <w:rPr>
                <w:rFonts w:eastAsia="Times New Roman" w:cstheme="minorHAnsi"/>
                <w:lang w:eastAsia="en-GB"/>
              </w:rPr>
              <w:t xml:space="preserve"> or less</w:t>
            </w:r>
            <w:r>
              <w:rPr>
                <w:rFonts w:eastAsia="Times New Roman" w:cstheme="minorHAnsi"/>
                <w:lang w:eastAsia="en-GB"/>
              </w:rPr>
              <w:t xml:space="preserve">, or 60bpm </w:t>
            </w:r>
            <w:r w:rsidR="002B3ADD">
              <w:rPr>
                <w:rFonts w:eastAsia="Times New Roman" w:cstheme="minorHAnsi"/>
                <w:lang w:eastAsia="en-GB"/>
              </w:rPr>
              <w:t xml:space="preserve">or less </w:t>
            </w:r>
            <w:r>
              <w:rPr>
                <w:rFonts w:eastAsia="Times New Roman" w:cstheme="minorHAnsi"/>
                <w:lang w:eastAsia="en-GB"/>
              </w:rPr>
              <w:t>with symptoms</w:t>
            </w:r>
          </w:p>
        </w:tc>
        <w:tc>
          <w:tcPr>
            <w:tcW w:w="5245" w:type="dxa"/>
          </w:tcPr>
          <w:p w14:paraId="0AF04492" w14:textId="7C1DB601" w:rsidR="0051526F" w:rsidRPr="00F321FC" w:rsidRDefault="0051526F" w:rsidP="00F34C5E">
            <w:pPr>
              <w:rPr>
                <w:rFonts w:cs="Arial"/>
              </w:rPr>
            </w:pPr>
            <w:r>
              <w:rPr>
                <w:rFonts w:eastAsia="Times New Roman" w:cstheme="minorHAnsi"/>
                <w:lang w:eastAsia="en-GB"/>
              </w:rPr>
              <w:t>Discuss with specialist team; dose reduction may be required.</w:t>
            </w:r>
          </w:p>
        </w:tc>
      </w:tr>
      <w:tr w:rsidR="0051526F" w:rsidRPr="00F321FC" w14:paraId="24831E88" w14:textId="77777777" w:rsidTr="0051526F">
        <w:trPr>
          <w:cantSplit/>
          <w:trHeight w:val="48"/>
        </w:trPr>
        <w:tc>
          <w:tcPr>
            <w:tcW w:w="5245" w:type="dxa"/>
          </w:tcPr>
          <w:p w14:paraId="1928A53C" w14:textId="79639FBA" w:rsidR="0051526F" w:rsidRPr="00F321FC" w:rsidRDefault="0051526F" w:rsidP="00F34C5E">
            <w:pPr>
              <w:rPr>
                <w:rFonts w:cs="Arial"/>
              </w:rPr>
            </w:pPr>
            <w:r>
              <w:rPr>
                <w:rFonts w:eastAsia="Times New Roman" w:cs="Arial"/>
                <w:lang w:eastAsia="en-GB"/>
              </w:rPr>
              <w:t xml:space="preserve">Worsening of arrhythmia, new arrhythmia, or heart block </w:t>
            </w:r>
          </w:p>
        </w:tc>
        <w:tc>
          <w:tcPr>
            <w:tcW w:w="5245" w:type="dxa"/>
          </w:tcPr>
          <w:p w14:paraId="3EAA40C2" w14:textId="7DF3A1B8" w:rsidR="0051526F" w:rsidRPr="00F321FC" w:rsidRDefault="0051526F" w:rsidP="00F34C5E">
            <w:pPr>
              <w:rPr>
                <w:rFonts w:cs="Arial"/>
              </w:rPr>
            </w:pPr>
            <w:r>
              <w:rPr>
                <w:rFonts w:eastAsia="Times New Roman" w:cstheme="minorHAnsi"/>
                <w:b/>
                <w:lang w:eastAsia="en-GB"/>
              </w:rPr>
              <w:t xml:space="preserve">Stop amiodarone.  </w:t>
            </w:r>
            <w:r>
              <w:rPr>
                <w:rFonts w:eastAsia="Times New Roman" w:cstheme="minorHAnsi"/>
                <w:lang w:eastAsia="en-GB"/>
              </w:rPr>
              <w:t>Urgent referral to initiating specialist.</w:t>
            </w:r>
          </w:p>
        </w:tc>
      </w:tr>
      <w:tr w:rsidR="0051526F" w:rsidRPr="00F321FC" w14:paraId="7B45BBDF" w14:textId="77777777" w:rsidTr="0051526F">
        <w:trPr>
          <w:cantSplit/>
          <w:trHeight w:val="48"/>
        </w:trPr>
        <w:tc>
          <w:tcPr>
            <w:tcW w:w="5245" w:type="dxa"/>
          </w:tcPr>
          <w:p w14:paraId="0690197E" w14:textId="77777777" w:rsidR="0051526F" w:rsidRDefault="0051526F" w:rsidP="00F34C5E">
            <w:pPr>
              <w:rPr>
                <w:rFonts w:eastAsia="Times New Roman" w:cs="Arial"/>
                <w:lang w:eastAsia="en-GB"/>
              </w:rPr>
            </w:pPr>
            <w:r>
              <w:rPr>
                <w:rFonts w:eastAsia="Times New Roman" w:cs="Arial"/>
                <w:b/>
                <w:lang w:eastAsia="en-GB"/>
              </w:rPr>
              <w:lastRenderedPageBreak/>
              <w:t>Thyroid dysfunction</w:t>
            </w:r>
            <w:r>
              <w:rPr>
                <w:rFonts w:eastAsia="Times New Roman" w:cs="Arial"/>
                <w:lang w:eastAsia="en-GB"/>
              </w:rPr>
              <w:t>:</w:t>
            </w:r>
          </w:p>
          <w:p w14:paraId="742A5874" w14:textId="612E9DCF" w:rsidR="0051526F" w:rsidRPr="00F321FC" w:rsidRDefault="0051526F" w:rsidP="00F34C5E">
            <w:pPr>
              <w:rPr>
                <w:rFonts w:cs="Arial"/>
              </w:rPr>
            </w:pPr>
            <w:r>
              <w:rPr>
                <w:rFonts w:eastAsia="Times New Roman" w:cs="Arial"/>
                <w:lang w:eastAsia="en-GB"/>
              </w:rPr>
              <w:t>Borderline results according to local reference range</w:t>
            </w:r>
          </w:p>
        </w:tc>
        <w:tc>
          <w:tcPr>
            <w:tcW w:w="5245" w:type="dxa"/>
          </w:tcPr>
          <w:p w14:paraId="54690064" w14:textId="77777777" w:rsidR="0051526F" w:rsidRDefault="0051526F" w:rsidP="00F34C5E">
            <w:pPr>
              <w:rPr>
                <w:rFonts w:eastAsia="Times New Roman" w:cstheme="minorHAnsi"/>
                <w:lang w:eastAsia="en-GB"/>
              </w:rPr>
            </w:pPr>
          </w:p>
          <w:p w14:paraId="3B5D0997" w14:textId="5B40CF46" w:rsidR="0051526F" w:rsidRPr="00F321FC" w:rsidRDefault="0051526F" w:rsidP="00F34C5E">
            <w:pPr>
              <w:rPr>
                <w:rFonts w:cs="Arial"/>
              </w:rPr>
            </w:pPr>
            <w:r>
              <w:rPr>
                <w:rFonts w:eastAsia="Times New Roman" w:cstheme="minorHAnsi"/>
                <w:lang w:eastAsia="en-GB"/>
              </w:rPr>
              <w:t>Continue amiodarone.  Repeat test after 6 weeks.</w:t>
            </w:r>
          </w:p>
        </w:tc>
      </w:tr>
      <w:tr w:rsidR="0051526F" w:rsidRPr="00F321FC" w14:paraId="6BD1EF9B" w14:textId="77777777" w:rsidTr="0051526F">
        <w:trPr>
          <w:cantSplit/>
          <w:trHeight w:val="48"/>
        </w:trPr>
        <w:tc>
          <w:tcPr>
            <w:tcW w:w="5245" w:type="dxa"/>
          </w:tcPr>
          <w:p w14:paraId="605C8D30" w14:textId="05EB8FEB" w:rsidR="0051526F" w:rsidRDefault="0051526F" w:rsidP="00F34C5E">
            <w:pPr>
              <w:rPr>
                <w:rFonts w:eastAsia="Times New Roman" w:cs="Arial"/>
                <w:lang w:eastAsia="en-GB"/>
              </w:rPr>
            </w:pPr>
            <w:r>
              <w:rPr>
                <w:rFonts w:eastAsia="Times New Roman" w:cs="Arial"/>
                <w:u w:val="single"/>
                <w:lang w:eastAsia="en-GB"/>
              </w:rPr>
              <w:t>Hyper</w:t>
            </w:r>
            <w:r>
              <w:rPr>
                <w:rFonts w:eastAsia="Times New Roman" w:cs="Arial"/>
                <w:lang w:eastAsia="en-GB"/>
              </w:rPr>
              <w:t>thyroidism / thyrotoxic</w:t>
            </w:r>
            <w:r w:rsidR="005529B0">
              <w:rPr>
                <w:rFonts w:eastAsia="Times New Roman" w:cs="Arial"/>
                <w:lang w:eastAsia="en-GB"/>
              </w:rPr>
              <w:t>osis</w:t>
            </w:r>
            <w:r>
              <w:rPr>
                <w:rFonts w:eastAsia="Times New Roman" w:cs="Arial"/>
                <w:lang w:eastAsia="en-GB"/>
              </w:rPr>
              <w:t>:</w:t>
            </w:r>
          </w:p>
          <w:p w14:paraId="5E311FBE" w14:textId="3A880600" w:rsidR="0051526F" w:rsidRPr="00F321FC" w:rsidRDefault="0051526F" w:rsidP="00F34C5E">
            <w:pPr>
              <w:rPr>
                <w:rFonts w:cs="Arial"/>
              </w:rPr>
            </w:pPr>
            <w:r>
              <w:rPr>
                <w:rFonts w:eastAsia="Times New Roman" w:cs="Arial"/>
                <w:lang w:eastAsia="en-GB"/>
              </w:rPr>
              <w:t xml:space="preserve">high T4, normal/high T3, low </w:t>
            </w:r>
            <w:r w:rsidR="00885377">
              <w:rPr>
                <w:rFonts w:eastAsia="Times New Roman" w:cs="Arial"/>
                <w:lang w:eastAsia="en-GB"/>
              </w:rPr>
              <w:t xml:space="preserve">(less than 0.1 mU/L) </w:t>
            </w:r>
            <w:r w:rsidR="007C0674">
              <w:rPr>
                <w:rFonts w:eastAsia="Times New Roman" w:cs="Arial"/>
                <w:lang w:eastAsia="en-GB"/>
              </w:rPr>
              <w:t xml:space="preserve">or undetectable </w:t>
            </w:r>
            <w:r>
              <w:rPr>
                <w:rFonts w:eastAsia="Times New Roman" w:cs="Arial"/>
                <w:lang w:eastAsia="en-GB"/>
              </w:rPr>
              <w:t>TSH</w:t>
            </w:r>
            <w:r w:rsidR="00A16CB2">
              <w:rPr>
                <w:rFonts w:eastAsia="Times New Roman" w:cs="Arial"/>
                <w:lang w:eastAsia="en-GB"/>
              </w:rPr>
              <w:t xml:space="preserve"> </w:t>
            </w:r>
          </w:p>
        </w:tc>
        <w:tc>
          <w:tcPr>
            <w:tcW w:w="5245" w:type="dxa"/>
          </w:tcPr>
          <w:p w14:paraId="25E56149" w14:textId="1FC72FCA" w:rsidR="0051526F" w:rsidRPr="00F321FC" w:rsidRDefault="0051526F" w:rsidP="00F34C5E">
            <w:pPr>
              <w:rPr>
                <w:rFonts w:cs="Arial"/>
              </w:rPr>
            </w:pPr>
            <w:r>
              <w:rPr>
                <w:rFonts w:eastAsia="Times New Roman" w:cstheme="minorHAnsi"/>
                <w:b/>
                <w:lang w:eastAsia="en-GB"/>
              </w:rPr>
              <w:t xml:space="preserve">Stop amiodarone.  </w:t>
            </w:r>
            <w:r>
              <w:rPr>
                <w:rFonts w:eastAsia="Times New Roman" w:cstheme="minorHAnsi"/>
                <w:lang w:eastAsia="en-GB"/>
              </w:rPr>
              <w:t>Urgent referral to initiating specialist and endocrinologist.</w:t>
            </w:r>
          </w:p>
        </w:tc>
      </w:tr>
      <w:tr w:rsidR="0051526F" w:rsidRPr="00F321FC" w14:paraId="525ED011" w14:textId="77777777" w:rsidTr="0051526F">
        <w:trPr>
          <w:cantSplit/>
          <w:trHeight w:val="48"/>
        </w:trPr>
        <w:tc>
          <w:tcPr>
            <w:tcW w:w="5245" w:type="dxa"/>
          </w:tcPr>
          <w:p w14:paraId="37810EDB" w14:textId="77777777" w:rsidR="0051526F" w:rsidRDefault="0051526F" w:rsidP="00F34C5E">
            <w:pPr>
              <w:rPr>
                <w:rFonts w:eastAsia="Times New Roman" w:cs="Arial"/>
                <w:lang w:eastAsia="en-GB"/>
              </w:rPr>
            </w:pPr>
            <w:r>
              <w:rPr>
                <w:rFonts w:eastAsia="Times New Roman" w:cs="Arial"/>
                <w:u w:val="single"/>
                <w:lang w:eastAsia="en-GB"/>
              </w:rPr>
              <w:t>Hypo</w:t>
            </w:r>
            <w:r>
              <w:rPr>
                <w:rFonts w:eastAsia="Times New Roman" w:cs="Arial"/>
                <w:lang w:eastAsia="en-GB"/>
              </w:rPr>
              <w:t>thyroidism:</w:t>
            </w:r>
          </w:p>
          <w:p w14:paraId="056AACBC" w14:textId="55034018" w:rsidR="0051526F" w:rsidRPr="00F321FC" w:rsidRDefault="0051526F" w:rsidP="00F34C5E">
            <w:pPr>
              <w:rPr>
                <w:rFonts w:cs="Arial"/>
              </w:rPr>
            </w:pPr>
            <w:r>
              <w:rPr>
                <w:rFonts w:eastAsia="Times New Roman" w:cs="Arial"/>
                <w:lang w:eastAsia="en-GB"/>
              </w:rPr>
              <w:t>low T4, high TSH</w:t>
            </w:r>
          </w:p>
        </w:tc>
        <w:tc>
          <w:tcPr>
            <w:tcW w:w="5245" w:type="dxa"/>
          </w:tcPr>
          <w:p w14:paraId="499E20D8" w14:textId="100CD43D" w:rsidR="0051526F" w:rsidRPr="00F321FC" w:rsidRDefault="0051526F" w:rsidP="00F34C5E">
            <w:pPr>
              <w:rPr>
                <w:rFonts w:cs="Arial"/>
              </w:rPr>
            </w:pPr>
            <w:r>
              <w:rPr>
                <w:rFonts w:eastAsia="Times New Roman" w:cstheme="minorHAnsi"/>
                <w:lang w:eastAsia="en-GB"/>
              </w:rPr>
              <w:t xml:space="preserve">Continue amiodarone. Inform initiating specialist. Consider starting levothyroxine based on initiating specialist’s advice. Monitor levothyroxine according to local pathways. </w:t>
            </w:r>
          </w:p>
        </w:tc>
      </w:tr>
      <w:tr w:rsidR="0051526F" w:rsidRPr="00F321FC" w14:paraId="1D57B6D7" w14:textId="77777777" w:rsidTr="0051526F">
        <w:trPr>
          <w:cantSplit/>
          <w:trHeight w:val="48"/>
        </w:trPr>
        <w:tc>
          <w:tcPr>
            <w:tcW w:w="5245" w:type="dxa"/>
          </w:tcPr>
          <w:p w14:paraId="5736DF15" w14:textId="77777777" w:rsidR="0051526F" w:rsidRDefault="0051526F" w:rsidP="00F34C5E">
            <w:pPr>
              <w:rPr>
                <w:rFonts w:cs="Arial"/>
                <w:bCs/>
              </w:rPr>
            </w:pPr>
            <w:r>
              <w:rPr>
                <w:rFonts w:cs="Arial"/>
                <w:bCs/>
              </w:rPr>
              <w:t xml:space="preserve">Subclinical </w:t>
            </w:r>
            <w:r>
              <w:rPr>
                <w:rFonts w:eastAsia="Times New Roman" w:cs="Arial"/>
                <w:u w:val="single"/>
                <w:lang w:eastAsia="en-GB"/>
              </w:rPr>
              <w:t>hypo</w:t>
            </w:r>
            <w:r>
              <w:rPr>
                <w:rFonts w:eastAsia="Times New Roman" w:cs="Arial"/>
                <w:lang w:eastAsia="en-GB"/>
              </w:rPr>
              <w:t>thyroidism</w:t>
            </w:r>
          </w:p>
          <w:p w14:paraId="0749D0BF" w14:textId="6F1907EF" w:rsidR="0051526F" w:rsidRPr="00F321FC" w:rsidRDefault="0051526F" w:rsidP="00F34C5E">
            <w:pPr>
              <w:rPr>
                <w:rFonts w:cs="Arial"/>
              </w:rPr>
            </w:pPr>
            <w:r>
              <w:rPr>
                <w:rFonts w:cs="Arial"/>
                <w:bCs/>
              </w:rPr>
              <w:t>normal T4, raised TSH; clinical features not overtly manifest</w:t>
            </w:r>
          </w:p>
        </w:tc>
        <w:tc>
          <w:tcPr>
            <w:tcW w:w="5245" w:type="dxa"/>
            <w:vAlign w:val="center"/>
          </w:tcPr>
          <w:p w14:paraId="2E525DD4" w14:textId="77777777" w:rsidR="0051526F" w:rsidRDefault="0051526F" w:rsidP="00F34C5E">
            <w:pPr>
              <w:rPr>
                <w:rFonts w:eastAsia="Times New Roman" w:cstheme="minorHAnsi"/>
                <w:lang w:eastAsia="en-GB"/>
              </w:rPr>
            </w:pPr>
            <w:r>
              <w:rPr>
                <w:rFonts w:eastAsia="Times New Roman" w:cstheme="minorHAnsi"/>
                <w:lang w:eastAsia="en-GB"/>
              </w:rPr>
              <w:t xml:space="preserve">Contact specialist team for advice, which may include input from endocrinology services. </w:t>
            </w:r>
          </w:p>
          <w:p w14:paraId="13AE35EE" w14:textId="28E64730" w:rsidR="0051526F" w:rsidRPr="00F321FC" w:rsidRDefault="0051526F" w:rsidP="00F34C5E">
            <w:pPr>
              <w:rPr>
                <w:rFonts w:cs="Arial"/>
              </w:rPr>
            </w:pPr>
            <w:r>
              <w:rPr>
                <w:rFonts w:eastAsia="Times New Roman" w:cstheme="minorHAnsi"/>
                <w:lang w:eastAsia="en-GB"/>
              </w:rPr>
              <w:t>Anticipate the need for additional monitoring, investigations and potentially thyroid hormone replacement based on specialist recommendations.</w:t>
            </w:r>
          </w:p>
        </w:tc>
      </w:tr>
      <w:tr w:rsidR="0051526F" w:rsidRPr="00F321FC" w14:paraId="38F6C6F9" w14:textId="77777777" w:rsidTr="0051526F">
        <w:trPr>
          <w:cantSplit/>
          <w:trHeight w:val="48"/>
        </w:trPr>
        <w:tc>
          <w:tcPr>
            <w:tcW w:w="5245" w:type="dxa"/>
          </w:tcPr>
          <w:p w14:paraId="2545C69E" w14:textId="77777777" w:rsidR="0051526F" w:rsidRDefault="0051526F" w:rsidP="00F34C5E">
            <w:pPr>
              <w:rPr>
                <w:rFonts w:eastAsia="Times New Roman" w:cstheme="minorHAnsi"/>
                <w:b/>
                <w:lang w:eastAsia="en-GB"/>
              </w:rPr>
            </w:pPr>
            <w:r>
              <w:rPr>
                <w:rFonts w:eastAsia="Times New Roman" w:cstheme="minorHAnsi"/>
                <w:b/>
                <w:lang w:eastAsia="en-GB"/>
              </w:rPr>
              <w:t>Ophthalmological effects:</w:t>
            </w:r>
          </w:p>
          <w:p w14:paraId="00E16E80" w14:textId="3B2FE53B" w:rsidR="0051526F" w:rsidRDefault="0051526F" w:rsidP="00F34C5E">
            <w:pPr>
              <w:rPr>
                <w:rFonts w:eastAsia="Times New Roman" w:cstheme="minorHAnsi"/>
                <w:lang w:eastAsia="en-GB"/>
              </w:rPr>
            </w:pPr>
            <w:r>
              <w:rPr>
                <w:rFonts w:eastAsia="Times New Roman" w:cstheme="minorHAnsi"/>
                <w:lang w:eastAsia="en-GB"/>
              </w:rPr>
              <w:t xml:space="preserve">Optic neuropathy / neuritis; </w:t>
            </w:r>
          </w:p>
          <w:p w14:paraId="254FB770" w14:textId="6358C278" w:rsidR="0051526F" w:rsidRPr="00F321FC" w:rsidRDefault="0051526F" w:rsidP="00F34C5E">
            <w:pPr>
              <w:rPr>
                <w:rFonts w:cs="Arial"/>
              </w:rPr>
            </w:pPr>
            <w:r>
              <w:rPr>
                <w:rFonts w:eastAsia="Times New Roman" w:cstheme="minorHAnsi"/>
                <w:lang w:eastAsia="en-GB"/>
              </w:rPr>
              <w:t>blurred or decreased vision</w:t>
            </w:r>
          </w:p>
        </w:tc>
        <w:tc>
          <w:tcPr>
            <w:tcW w:w="5245" w:type="dxa"/>
          </w:tcPr>
          <w:p w14:paraId="3EC57A6F" w14:textId="5F29689C" w:rsidR="0051526F" w:rsidRPr="00F321FC" w:rsidRDefault="0051526F" w:rsidP="00F34C5E">
            <w:pPr>
              <w:rPr>
                <w:rFonts w:cs="Arial"/>
              </w:rPr>
            </w:pPr>
            <w:r>
              <w:rPr>
                <w:rFonts w:eastAsia="Times New Roman" w:cstheme="minorHAnsi"/>
                <w:b/>
                <w:lang w:eastAsia="en-GB"/>
              </w:rPr>
              <w:t xml:space="preserve">Stop amiodarone.  </w:t>
            </w:r>
            <w:r>
              <w:rPr>
                <w:rFonts w:eastAsia="Times New Roman" w:cstheme="minorHAnsi"/>
                <w:lang w:eastAsia="en-GB"/>
              </w:rPr>
              <w:t>Urgent referral to initiating specialist and ophthalmology.</w:t>
            </w:r>
          </w:p>
        </w:tc>
      </w:tr>
      <w:tr w:rsidR="0051526F" w:rsidRPr="00F321FC" w14:paraId="6C0FFF07" w14:textId="77777777" w:rsidTr="001A2340">
        <w:trPr>
          <w:cantSplit/>
          <w:trHeight w:val="1988"/>
        </w:trPr>
        <w:tc>
          <w:tcPr>
            <w:tcW w:w="5245" w:type="dxa"/>
          </w:tcPr>
          <w:p w14:paraId="529F0701" w14:textId="77777777" w:rsidR="0051526F" w:rsidRDefault="0051526F" w:rsidP="00F34C5E">
            <w:pPr>
              <w:rPr>
                <w:rFonts w:eastAsia="Times New Roman" w:cstheme="minorHAnsi"/>
                <w:lang w:eastAsia="en-GB"/>
              </w:rPr>
            </w:pPr>
            <w:r>
              <w:rPr>
                <w:rFonts w:eastAsia="Times New Roman" w:cstheme="minorHAnsi"/>
                <w:lang w:eastAsia="en-GB"/>
              </w:rPr>
              <w:t>Corneal micro-deposits:</w:t>
            </w:r>
          </w:p>
          <w:p w14:paraId="1D47746F" w14:textId="78BEB4CD" w:rsidR="0051526F" w:rsidRDefault="0051526F" w:rsidP="00F34C5E">
            <w:pPr>
              <w:rPr>
                <w:rFonts w:eastAsia="Times New Roman" w:cstheme="minorHAnsi"/>
                <w:lang w:eastAsia="en-GB"/>
              </w:rPr>
            </w:pPr>
            <w:r>
              <w:rPr>
                <w:rFonts w:eastAsia="Times New Roman" w:cstheme="minorHAnsi"/>
                <w:lang w:eastAsia="en-GB"/>
              </w:rPr>
              <w:t xml:space="preserve">Blueish halos when looking at bright lights, with no blurred or decreased vision. </w:t>
            </w:r>
          </w:p>
          <w:p w14:paraId="3A14071F" w14:textId="4FB5FC6A" w:rsidR="004651C9" w:rsidRPr="001A2340" w:rsidRDefault="0051526F" w:rsidP="004651C9">
            <w:pPr>
              <w:rPr>
                <w:rFonts w:eastAsia="Times New Roman" w:cstheme="minorHAnsi"/>
                <w:bCs/>
                <w:lang w:eastAsia="en-GB"/>
              </w:rPr>
            </w:pPr>
            <w:r>
              <w:rPr>
                <w:rFonts w:eastAsia="Times New Roman" w:cstheme="minorHAnsi"/>
                <w:lang w:eastAsia="en-GB"/>
              </w:rPr>
              <w:t xml:space="preserve">Micro-deposits are </w:t>
            </w:r>
            <w:r w:rsidRPr="00D13A1C">
              <w:rPr>
                <w:rFonts w:eastAsia="Times New Roman" w:cstheme="minorHAnsi"/>
                <w:lang w:eastAsia="en-GB"/>
              </w:rPr>
              <w:t xml:space="preserve">usually limited to the area under the pupil, </w:t>
            </w:r>
            <w:r>
              <w:rPr>
                <w:rFonts w:eastAsia="Times New Roman" w:cstheme="minorHAnsi"/>
                <w:lang w:eastAsia="en-GB"/>
              </w:rPr>
              <w:t xml:space="preserve">and </w:t>
            </w:r>
            <w:r w:rsidRPr="00D13A1C">
              <w:rPr>
                <w:rFonts w:eastAsia="Times New Roman" w:cstheme="minorHAnsi"/>
                <w:lang w:eastAsia="en-GB"/>
              </w:rPr>
              <w:t xml:space="preserve">usually only </w:t>
            </w:r>
            <w:r w:rsidR="005529B0" w:rsidRPr="00D13A1C">
              <w:rPr>
                <w:rFonts w:eastAsia="Times New Roman" w:cstheme="minorHAnsi"/>
                <w:lang w:eastAsia="en-GB"/>
              </w:rPr>
              <w:t>discernible</w:t>
            </w:r>
            <w:r w:rsidRPr="00D13A1C">
              <w:rPr>
                <w:rFonts w:eastAsia="Times New Roman" w:cstheme="minorHAnsi"/>
                <w:lang w:eastAsia="en-GB"/>
              </w:rPr>
              <w:t xml:space="preserve"> by slit-lamp examination</w:t>
            </w:r>
            <w:r w:rsidR="005529B0">
              <w:rPr>
                <w:rFonts w:eastAsia="Times New Roman" w:cstheme="minorHAnsi"/>
                <w:lang w:eastAsia="en-GB"/>
              </w:rPr>
              <w:t>.</w:t>
            </w:r>
          </w:p>
        </w:tc>
        <w:tc>
          <w:tcPr>
            <w:tcW w:w="5245" w:type="dxa"/>
          </w:tcPr>
          <w:p w14:paraId="75AFE896" w14:textId="5D53BADF" w:rsidR="0051526F" w:rsidRDefault="0051526F" w:rsidP="00F34C5E">
            <w:pPr>
              <w:rPr>
                <w:rFonts w:eastAsia="Times New Roman" w:cstheme="minorHAnsi"/>
                <w:lang w:eastAsia="en-GB"/>
              </w:rPr>
            </w:pPr>
            <w:r>
              <w:rPr>
                <w:rFonts w:eastAsia="Times New Roman" w:cstheme="minorHAnsi"/>
                <w:lang w:eastAsia="en-GB"/>
              </w:rPr>
              <w:t xml:space="preserve">Continue amiodarone; reversible on discontinuation. The deposits are considered essentially benign and do not require discontinuation of amiodarone. </w:t>
            </w:r>
          </w:p>
          <w:p w14:paraId="0EBFB85A" w14:textId="2E97193C" w:rsidR="0051526F" w:rsidRPr="00F321FC" w:rsidRDefault="0051526F" w:rsidP="00F34C5E">
            <w:pPr>
              <w:rPr>
                <w:rFonts w:cs="Arial"/>
              </w:rPr>
            </w:pPr>
            <w:r>
              <w:rPr>
                <w:rFonts w:eastAsia="Times New Roman" w:cstheme="minorHAnsi"/>
                <w:lang w:eastAsia="en-GB"/>
              </w:rPr>
              <w:t xml:space="preserve">Encourage annual optician visits. </w:t>
            </w:r>
          </w:p>
        </w:tc>
      </w:tr>
      <w:tr w:rsidR="0051526F" w:rsidRPr="00F321FC" w14:paraId="32C58BB9" w14:textId="77777777" w:rsidTr="001A2340">
        <w:trPr>
          <w:cantSplit/>
          <w:trHeight w:val="995"/>
        </w:trPr>
        <w:tc>
          <w:tcPr>
            <w:tcW w:w="5245" w:type="dxa"/>
          </w:tcPr>
          <w:p w14:paraId="4B6DB15E" w14:textId="3950BC15" w:rsidR="004651C9" w:rsidRPr="001A2340" w:rsidRDefault="0051526F" w:rsidP="004651C9">
            <w:pPr>
              <w:rPr>
                <w:rFonts w:eastAsia="Times New Roman" w:cstheme="minorHAnsi"/>
                <w:bCs/>
                <w:lang w:eastAsia="en-GB"/>
              </w:rPr>
            </w:pPr>
            <w:r>
              <w:rPr>
                <w:rFonts w:eastAsia="Times New Roman" w:cstheme="minorHAnsi"/>
                <w:b/>
                <w:bCs/>
                <w:lang w:eastAsia="en-GB"/>
              </w:rPr>
              <w:t>GI disturbance</w:t>
            </w:r>
            <w:r>
              <w:rPr>
                <w:rFonts w:eastAsia="Times New Roman" w:cstheme="minorHAnsi"/>
                <w:bCs/>
                <w:lang w:eastAsia="en-GB"/>
              </w:rPr>
              <w:t>: nausea, anorexia, vomiting, taste disturbance</w:t>
            </w:r>
          </w:p>
        </w:tc>
        <w:tc>
          <w:tcPr>
            <w:tcW w:w="5245" w:type="dxa"/>
          </w:tcPr>
          <w:p w14:paraId="6BB8FCC2" w14:textId="75BA8AC9" w:rsidR="0051526F" w:rsidRPr="00F321FC" w:rsidRDefault="0051526F" w:rsidP="00F34C5E">
            <w:pPr>
              <w:rPr>
                <w:rFonts w:cs="Arial"/>
              </w:rPr>
            </w:pPr>
            <w:r>
              <w:rPr>
                <w:rFonts w:eastAsia="Times New Roman" w:cstheme="minorHAnsi"/>
                <w:lang w:eastAsia="en-GB"/>
              </w:rPr>
              <w:t xml:space="preserve">Continue amiodarone. May require dose reduction; discuss with specialist if persistent. </w:t>
            </w:r>
          </w:p>
        </w:tc>
      </w:tr>
      <w:tr w:rsidR="0051526F" w:rsidRPr="00F321FC" w14:paraId="438CD57B" w14:textId="77777777" w:rsidTr="0051526F">
        <w:trPr>
          <w:cantSplit/>
          <w:trHeight w:val="48"/>
        </w:trPr>
        <w:tc>
          <w:tcPr>
            <w:tcW w:w="5245" w:type="dxa"/>
          </w:tcPr>
          <w:p w14:paraId="106B2AAC" w14:textId="77777777" w:rsidR="0051526F" w:rsidRDefault="0051526F" w:rsidP="00F34C5E">
            <w:pPr>
              <w:rPr>
                <w:rFonts w:eastAsia="Times New Roman" w:cstheme="minorHAnsi"/>
                <w:lang w:eastAsia="en-GB"/>
              </w:rPr>
            </w:pPr>
            <w:r>
              <w:rPr>
                <w:rFonts w:eastAsia="Times New Roman" w:cstheme="minorHAnsi"/>
                <w:b/>
                <w:lang w:eastAsia="en-GB"/>
              </w:rPr>
              <w:t>Hepatotoxicity</w:t>
            </w:r>
            <w:r>
              <w:rPr>
                <w:rFonts w:eastAsia="Times New Roman" w:cstheme="minorHAnsi"/>
                <w:lang w:eastAsia="en-GB"/>
              </w:rPr>
              <w:t>:</w:t>
            </w:r>
          </w:p>
          <w:p w14:paraId="7A50C074" w14:textId="77777777" w:rsidR="0051526F" w:rsidRDefault="0051526F" w:rsidP="00F34C5E">
            <w:pPr>
              <w:rPr>
                <w:rFonts w:eastAsia="Times New Roman" w:cstheme="minorHAnsi"/>
                <w:lang w:eastAsia="en-GB"/>
              </w:rPr>
            </w:pPr>
            <w:r>
              <w:rPr>
                <w:rFonts w:eastAsia="Times New Roman" w:cstheme="minorHAnsi"/>
                <w:lang w:eastAsia="en-GB"/>
              </w:rPr>
              <w:t>abnormal LFTs +/- symptoms of hepatic injury (e.g. hepatomegaly, weakness, ascites, jaundice)</w:t>
            </w:r>
          </w:p>
          <w:p w14:paraId="429EC4AF" w14:textId="77777777" w:rsidR="0051526F" w:rsidRDefault="0051526F" w:rsidP="00F34C5E">
            <w:pPr>
              <w:rPr>
                <w:rFonts w:eastAsia="Times New Roman" w:cstheme="minorHAnsi"/>
                <w:bCs/>
                <w:lang w:eastAsia="en-GB"/>
              </w:rPr>
            </w:pPr>
          </w:p>
          <w:p w14:paraId="07C71050" w14:textId="77777777" w:rsidR="004651C9" w:rsidRPr="004651C9" w:rsidRDefault="004651C9" w:rsidP="004651C9">
            <w:pPr>
              <w:rPr>
                <w:rFonts w:cs="Arial"/>
              </w:rPr>
            </w:pPr>
          </w:p>
          <w:p w14:paraId="1D3B77FE" w14:textId="77777777" w:rsidR="004651C9" w:rsidRPr="004651C9" w:rsidRDefault="004651C9" w:rsidP="004651C9">
            <w:pPr>
              <w:rPr>
                <w:rFonts w:cs="Arial"/>
              </w:rPr>
            </w:pPr>
          </w:p>
          <w:p w14:paraId="17B4C112" w14:textId="77777777" w:rsidR="004651C9" w:rsidRPr="004651C9" w:rsidRDefault="004651C9" w:rsidP="004651C9">
            <w:pPr>
              <w:rPr>
                <w:rFonts w:cs="Arial"/>
              </w:rPr>
            </w:pPr>
          </w:p>
        </w:tc>
        <w:tc>
          <w:tcPr>
            <w:tcW w:w="5245" w:type="dxa"/>
          </w:tcPr>
          <w:p w14:paraId="06F41649" w14:textId="391D6031" w:rsidR="0051526F" w:rsidRDefault="0051526F" w:rsidP="00F34C5E">
            <w:pPr>
              <w:rPr>
                <w:rFonts w:eastAsia="Times New Roman" w:cstheme="minorHAnsi"/>
                <w:lang w:eastAsia="en-GB"/>
              </w:rPr>
            </w:pPr>
            <w:r>
              <w:rPr>
                <w:rFonts w:eastAsia="Times New Roman" w:cstheme="minorHAnsi"/>
                <w:lang w:eastAsia="en-GB"/>
              </w:rPr>
              <w:t>If serum transaminases elevated &gt;3xULN but no symptoms of hepatic injury</w:t>
            </w:r>
            <w:r w:rsidR="00BA0737">
              <w:rPr>
                <w:rFonts w:eastAsia="Times New Roman" w:cstheme="minorHAnsi"/>
                <w:lang w:eastAsia="en-GB"/>
              </w:rPr>
              <w:t>:</w:t>
            </w:r>
            <w:r>
              <w:rPr>
                <w:rFonts w:eastAsia="Times New Roman" w:cstheme="minorHAnsi"/>
                <w:lang w:eastAsia="en-GB"/>
              </w:rPr>
              <w:t xml:space="preserve"> continue amiodarone and repeat LFTs in 2 weeks. If still elevated may require dose reduction; discuss with specialist.</w:t>
            </w:r>
          </w:p>
          <w:p w14:paraId="6765B2E4" w14:textId="41572171" w:rsidR="0051526F" w:rsidRPr="00F321FC" w:rsidRDefault="0051526F" w:rsidP="00F34C5E">
            <w:pPr>
              <w:rPr>
                <w:rFonts w:cs="Arial"/>
              </w:rPr>
            </w:pPr>
            <w:r>
              <w:rPr>
                <w:rFonts w:eastAsia="Times New Roman" w:cstheme="minorHAnsi"/>
                <w:lang w:eastAsia="en-GB"/>
              </w:rPr>
              <w:t>If serum transaminases &gt;5xULN or any symptoms of hepatic injury</w:t>
            </w:r>
            <w:r w:rsidR="00A704EE">
              <w:rPr>
                <w:rFonts w:eastAsia="Times New Roman" w:cstheme="minorHAnsi"/>
                <w:lang w:eastAsia="en-GB"/>
              </w:rPr>
              <w:t xml:space="preserve"> – </w:t>
            </w:r>
            <w:r>
              <w:rPr>
                <w:rFonts w:eastAsia="Times New Roman" w:cstheme="minorHAnsi"/>
                <w:b/>
                <w:lang w:eastAsia="en-GB"/>
              </w:rPr>
              <w:t>stop amiodarone</w:t>
            </w:r>
            <w:r>
              <w:rPr>
                <w:rFonts w:eastAsia="Times New Roman" w:cstheme="minorHAnsi"/>
                <w:lang w:eastAsia="en-GB"/>
              </w:rPr>
              <w:t xml:space="preserve">. Urgent referral to initiating specialist and hepatologist. </w:t>
            </w:r>
          </w:p>
        </w:tc>
      </w:tr>
      <w:tr w:rsidR="0051526F" w:rsidRPr="00F321FC" w14:paraId="37BD85F9" w14:textId="77777777" w:rsidTr="0051526F">
        <w:trPr>
          <w:cantSplit/>
          <w:trHeight w:val="48"/>
        </w:trPr>
        <w:tc>
          <w:tcPr>
            <w:tcW w:w="5245" w:type="dxa"/>
          </w:tcPr>
          <w:p w14:paraId="0643A351" w14:textId="77777777" w:rsidR="0051526F" w:rsidRDefault="0051526F" w:rsidP="00F34C5E">
            <w:pPr>
              <w:rPr>
                <w:rFonts w:eastAsia="Times New Roman" w:cstheme="minorHAnsi"/>
                <w:bCs/>
                <w:lang w:eastAsia="en-GB"/>
              </w:rPr>
            </w:pPr>
            <w:r>
              <w:rPr>
                <w:rFonts w:eastAsia="Times New Roman" w:cstheme="minorHAnsi"/>
                <w:b/>
                <w:bCs/>
                <w:lang w:eastAsia="en-GB"/>
              </w:rPr>
              <w:t>Neurological symptoms</w:t>
            </w:r>
            <w:r>
              <w:rPr>
                <w:rFonts w:eastAsia="Times New Roman" w:cstheme="minorHAnsi"/>
                <w:bCs/>
                <w:lang w:eastAsia="en-GB"/>
              </w:rPr>
              <w:t>:</w:t>
            </w:r>
          </w:p>
          <w:p w14:paraId="186923CD" w14:textId="77777777" w:rsidR="0051526F" w:rsidRDefault="0051526F" w:rsidP="00F34C5E">
            <w:pPr>
              <w:rPr>
                <w:rFonts w:eastAsia="Times New Roman" w:cstheme="minorHAnsi"/>
                <w:bCs/>
                <w:lang w:eastAsia="en-GB"/>
              </w:rPr>
            </w:pPr>
            <w:r>
              <w:rPr>
                <w:rFonts w:eastAsia="Times New Roman" w:cstheme="minorHAnsi"/>
                <w:bCs/>
                <w:lang w:eastAsia="en-GB"/>
              </w:rPr>
              <w:t>Extrapyramidal tremor, ataxia, peripheral neuropathy, myopathy</w:t>
            </w:r>
          </w:p>
          <w:p w14:paraId="240C678B" w14:textId="77777777" w:rsidR="004651C9" w:rsidRPr="004651C9" w:rsidRDefault="004651C9" w:rsidP="004651C9">
            <w:pPr>
              <w:rPr>
                <w:rFonts w:cs="Arial"/>
              </w:rPr>
            </w:pPr>
          </w:p>
          <w:p w14:paraId="65F1D0DE" w14:textId="6BDD0A74" w:rsidR="004651C9" w:rsidRPr="004651C9" w:rsidRDefault="004651C9" w:rsidP="004651C9">
            <w:pPr>
              <w:rPr>
                <w:rFonts w:cs="Arial"/>
              </w:rPr>
            </w:pPr>
          </w:p>
        </w:tc>
        <w:tc>
          <w:tcPr>
            <w:tcW w:w="5245" w:type="dxa"/>
          </w:tcPr>
          <w:p w14:paraId="074D3381" w14:textId="19E6EE8B" w:rsidR="0051526F" w:rsidRPr="00F321FC" w:rsidRDefault="0051526F" w:rsidP="00F34C5E">
            <w:pPr>
              <w:rPr>
                <w:rFonts w:cs="Arial"/>
              </w:rPr>
            </w:pPr>
            <w:r>
              <w:rPr>
                <w:rFonts w:eastAsia="Times New Roman" w:cstheme="minorHAnsi"/>
                <w:lang w:eastAsia="en-GB"/>
              </w:rPr>
              <w:t>Continue amiodarone. May require dose reduction; discuss with specialist.</w:t>
            </w:r>
          </w:p>
        </w:tc>
      </w:tr>
      <w:tr w:rsidR="0051526F" w:rsidRPr="00F321FC" w14:paraId="214ED6F5" w14:textId="77777777" w:rsidTr="0051526F">
        <w:trPr>
          <w:cantSplit/>
          <w:trHeight w:val="48"/>
        </w:trPr>
        <w:tc>
          <w:tcPr>
            <w:tcW w:w="5245" w:type="dxa"/>
          </w:tcPr>
          <w:p w14:paraId="4B59FB46" w14:textId="77777777" w:rsidR="0051526F" w:rsidRDefault="0051526F" w:rsidP="00F34C5E">
            <w:pPr>
              <w:rPr>
                <w:rFonts w:eastAsia="Times New Roman" w:cstheme="minorHAnsi"/>
                <w:bCs/>
                <w:lang w:eastAsia="en-GB"/>
              </w:rPr>
            </w:pPr>
            <w:r>
              <w:rPr>
                <w:rFonts w:eastAsia="Times New Roman" w:cstheme="minorHAnsi"/>
                <w:b/>
                <w:bCs/>
                <w:lang w:eastAsia="en-GB"/>
              </w:rPr>
              <w:lastRenderedPageBreak/>
              <w:t>Pulmonary toxicity</w:t>
            </w:r>
            <w:r>
              <w:rPr>
                <w:rFonts w:eastAsia="Times New Roman" w:cstheme="minorHAnsi"/>
                <w:bCs/>
                <w:lang w:eastAsia="en-GB"/>
              </w:rPr>
              <w:t>: including pneumonitis or fibrosis</w:t>
            </w:r>
          </w:p>
          <w:p w14:paraId="7B375A6E" w14:textId="77777777" w:rsidR="0051526F" w:rsidRDefault="0051526F" w:rsidP="00F34C5E">
            <w:pPr>
              <w:rPr>
                <w:rFonts w:eastAsia="Times New Roman" w:cstheme="minorHAnsi"/>
                <w:bCs/>
                <w:lang w:eastAsia="en-GB"/>
              </w:rPr>
            </w:pPr>
            <w:r>
              <w:rPr>
                <w:rFonts w:eastAsia="Times New Roman" w:cstheme="minorHAnsi"/>
                <w:bCs/>
                <w:lang w:eastAsia="en-GB"/>
              </w:rPr>
              <w:t>new/worsening cough, shortness of breath or deterioration in general health (e.g. fatigue, weight loss, fever)</w:t>
            </w:r>
          </w:p>
          <w:p w14:paraId="7E88643E" w14:textId="56098FC9" w:rsidR="004651C9" w:rsidRPr="004651C9" w:rsidRDefault="004651C9" w:rsidP="004651C9">
            <w:pPr>
              <w:rPr>
                <w:rFonts w:cs="Arial"/>
              </w:rPr>
            </w:pPr>
          </w:p>
        </w:tc>
        <w:tc>
          <w:tcPr>
            <w:tcW w:w="5245" w:type="dxa"/>
          </w:tcPr>
          <w:p w14:paraId="59049ED9" w14:textId="47DDE650" w:rsidR="0051526F" w:rsidRPr="00F321FC" w:rsidRDefault="0051526F" w:rsidP="00F34C5E">
            <w:pPr>
              <w:rPr>
                <w:rFonts w:cs="Arial"/>
              </w:rPr>
            </w:pPr>
            <w:r>
              <w:rPr>
                <w:rFonts w:eastAsia="Times New Roman" w:cstheme="minorHAnsi"/>
                <w:b/>
                <w:lang w:eastAsia="en-GB"/>
              </w:rPr>
              <w:t>Stop amiodarone.</w:t>
            </w:r>
            <w:r>
              <w:rPr>
                <w:rFonts w:eastAsia="Times New Roman" w:cstheme="minorHAnsi"/>
                <w:lang w:eastAsia="en-GB"/>
              </w:rPr>
              <w:t xml:space="preserve">  Urgent referral to initiating specialist and respiratory specialist. Admission may be required.</w:t>
            </w:r>
          </w:p>
        </w:tc>
      </w:tr>
      <w:tr w:rsidR="0051526F" w:rsidRPr="00F321FC" w14:paraId="54DDE46F" w14:textId="77777777" w:rsidTr="0051526F">
        <w:trPr>
          <w:cantSplit/>
          <w:trHeight w:val="48"/>
        </w:trPr>
        <w:tc>
          <w:tcPr>
            <w:tcW w:w="5245" w:type="dxa"/>
          </w:tcPr>
          <w:p w14:paraId="26D9722A" w14:textId="7034D679" w:rsidR="0051526F" w:rsidRDefault="0051526F" w:rsidP="00F34C5E">
            <w:pPr>
              <w:rPr>
                <w:rFonts w:eastAsia="Times New Roman" w:cstheme="minorHAnsi"/>
                <w:bCs/>
                <w:lang w:eastAsia="en-GB"/>
              </w:rPr>
            </w:pPr>
            <w:r>
              <w:rPr>
                <w:rFonts w:eastAsia="Times New Roman" w:cstheme="minorHAnsi"/>
                <w:b/>
                <w:bCs/>
                <w:lang w:eastAsia="en-GB"/>
              </w:rPr>
              <w:t>Skin and subcutaneous tissue disorders</w:t>
            </w:r>
            <w:r>
              <w:rPr>
                <w:rFonts w:eastAsia="Times New Roman" w:cstheme="minorHAnsi"/>
                <w:bCs/>
                <w:lang w:eastAsia="en-GB"/>
              </w:rPr>
              <w:t>:</w:t>
            </w:r>
          </w:p>
          <w:p w14:paraId="3FDD2A81" w14:textId="45646C75" w:rsidR="0051526F" w:rsidRPr="00F321FC" w:rsidRDefault="0051526F" w:rsidP="00F34C5E">
            <w:pPr>
              <w:rPr>
                <w:rFonts w:cs="Arial"/>
              </w:rPr>
            </w:pPr>
            <w:r>
              <w:rPr>
                <w:rFonts w:eastAsia="Times New Roman" w:cstheme="minorHAnsi"/>
                <w:bCs/>
                <w:lang w:eastAsia="en-GB"/>
              </w:rPr>
              <w:t>life threatening or even fatal cutaneous reactions such as Stevens-Johnson Syndrome (SJS), Toxic Epidermal Necrolysis (TEN)</w:t>
            </w:r>
          </w:p>
        </w:tc>
        <w:tc>
          <w:tcPr>
            <w:tcW w:w="5245" w:type="dxa"/>
          </w:tcPr>
          <w:p w14:paraId="5750E13E" w14:textId="600B87E4" w:rsidR="0051526F" w:rsidRPr="00F321FC" w:rsidRDefault="0051526F" w:rsidP="00F34C5E">
            <w:pPr>
              <w:rPr>
                <w:rFonts w:cs="Arial"/>
              </w:rPr>
            </w:pPr>
            <w:r>
              <w:rPr>
                <w:rFonts w:eastAsia="Times New Roman" w:cstheme="minorHAnsi"/>
                <w:b/>
                <w:lang w:eastAsia="en-GB"/>
              </w:rPr>
              <w:t xml:space="preserve">Stop amiodarone. </w:t>
            </w:r>
            <w:r>
              <w:rPr>
                <w:rFonts w:eastAsia="Times New Roman" w:cstheme="minorHAnsi"/>
                <w:lang w:eastAsia="en-GB"/>
              </w:rPr>
              <w:t>Urgent referral to dermatology, inform initiating specialist.</w:t>
            </w:r>
          </w:p>
        </w:tc>
      </w:tr>
      <w:tr w:rsidR="0051526F" w:rsidRPr="00F321FC" w14:paraId="797322BA" w14:textId="77777777" w:rsidTr="0051526F">
        <w:trPr>
          <w:cantSplit/>
          <w:trHeight w:val="48"/>
        </w:trPr>
        <w:tc>
          <w:tcPr>
            <w:tcW w:w="5245" w:type="dxa"/>
          </w:tcPr>
          <w:p w14:paraId="396757E5" w14:textId="35692027" w:rsidR="0051526F" w:rsidRPr="00F321FC" w:rsidRDefault="0051526F" w:rsidP="00F34C5E">
            <w:pPr>
              <w:rPr>
                <w:rFonts w:cs="Arial"/>
              </w:rPr>
            </w:pPr>
            <w:r>
              <w:rPr>
                <w:rFonts w:eastAsia="Times New Roman" w:cstheme="minorHAnsi"/>
                <w:bCs/>
                <w:lang w:eastAsia="en-GB"/>
              </w:rPr>
              <w:t>Photosensitivity</w:t>
            </w:r>
          </w:p>
        </w:tc>
        <w:tc>
          <w:tcPr>
            <w:tcW w:w="5245" w:type="dxa"/>
          </w:tcPr>
          <w:p w14:paraId="66161D69" w14:textId="1D034858" w:rsidR="0051526F" w:rsidRPr="00F321FC" w:rsidRDefault="0051526F" w:rsidP="00F34C5E">
            <w:pPr>
              <w:rPr>
                <w:rFonts w:cs="Arial"/>
              </w:rPr>
            </w:pPr>
            <w:r>
              <w:rPr>
                <w:rFonts w:eastAsia="Times New Roman" w:cstheme="minorHAnsi"/>
                <w:lang w:eastAsia="en-GB"/>
              </w:rPr>
              <w:t xml:space="preserve">Continue amiodarone. Reinforce appropriate self-care e.g. sun avoidance and purchasing of a </w:t>
            </w:r>
            <w:proofErr w:type="gramStart"/>
            <w:r>
              <w:rPr>
                <w:rFonts w:eastAsia="Times New Roman" w:cstheme="minorHAnsi"/>
                <w:lang w:eastAsia="en-GB"/>
              </w:rPr>
              <w:t>broad spectrum</w:t>
            </w:r>
            <w:proofErr w:type="gramEnd"/>
            <w:r>
              <w:rPr>
                <w:rFonts w:eastAsia="Times New Roman" w:cstheme="minorHAnsi"/>
                <w:lang w:eastAsia="en-GB"/>
              </w:rPr>
              <w:t xml:space="preserve"> sunscreen (at least SPF30). </w:t>
            </w:r>
          </w:p>
        </w:tc>
      </w:tr>
      <w:tr w:rsidR="0051526F" w:rsidRPr="00F321FC" w14:paraId="243D60AA" w14:textId="77777777" w:rsidTr="0051526F">
        <w:trPr>
          <w:cantSplit/>
          <w:trHeight w:val="48"/>
        </w:trPr>
        <w:tc>
          <w:tcPr>
            <w:tcW w:w="5245" w:type="dxa"/>
          </w:tcPr>
          <w:p w14:paraId="21FB1915" w14:textId="77777777" w:rsidR="0051526F" w:rsidRDefault="0051526F" w:rsidP="00F34C5E">
            <w:pPr>
              <w:rPr>
                <w:rFonts w:eastAsia="Times New Roman" w:cstheme="minorHAnsi"/>
                <w:bCs/>
                <w:lang w:eastAsia="en-GB"/>
              </w:rPr>
            </w:pPr>
            <w:r>
              <w:rPr>
                <w:rFonts w:eastAsia="Times New Roman" w:cstheme="minorHAnsi"/>
                <w:bCs/>
                <w:lang w:eastAsia="en-GB"/>
              </w:rPr>
              <w:t>Skin discolouration (blue/grey):</w:t>
            </w:r>
          </w:p>
          <w:p w14:paraId="0961FD83" w14:textId="38FE0E8D" w:rsidR="0051526F" w:rsidRPr="00F321FC" w:rsidRDefault="0051526F" w:rsidP="00F34C5E">
            <w:pPr>
              <w:rPr>
                <w:rFonts w:cs="Arial"/>
              </w:rPr>
            </w:pPr>
            <w:r>
              <w:rPr>
                <w:rFonts w:eastAsia="Times New Roman" w:cstheme="minorHAnsi"/>
                <w:bCs/>
                <w:lang w:eastAsia="en-GB"/>
              </w:rPr>
              <w:t>occurs in unprotected, light exposed skin</w:t>
            </w:r>
          </w:p>
        </w:tc>
        <w:tc>
          <w:tcPr>
            <w:tcW w:w="5245" w:type="dxa"/>
          </w:tcPr>
          <w:p w14:paraId="0580FB7C" w14:textId="77777777" w:rsidR="0051526F" w:rsidRDefault="0051526F" w:rsidP="00F34C5E">
            <w:pPr>
              <w:rPr>
                <w:rFonts w:eastAsia="Times New Roman" w:cstheme="minorHAnsi"/>
                <w:lang w:eastAsia="en-GB"/>
              </w:rPr>
            </w:pPr>
            <w:r>
              <w:rPr>
                <w:rFonts w:eastAsia="Times New Roman" w:cstheme="minorHAnsi"/>
                <w:lang w:eastAsia="en-GB"/>
              </w:rPr>
              <w:t xml:space="preserve">Continue amiodarone. May require dose reduction; discuss with specialist. </w:t>
            </w:r>
          </w:p>
          <w:p w14:paraId="42DC9B44" w14:textId="194C1E3B" w:rsidR="0051526F" w:rsidRPr="00F321FC" w:rsidRDefault="0051526F" w:rsidP="00F34C5E">
            <w:pPr>
              <w:rPr>
                <w:rFonts w:cs="Arial"/>
              </w:rPr>
            </w:pPr>
            <w:r>
              <w:rPr>
                <w:rFonts w:eastAsia="Times New Roman" w:cstheme="minorHAnsi"/>
                <w:lang w:eastAsia="en-GB"/>
              </w:rPr>
              <w:t>Reinforce self-care measures (as for photosensitivity above). Pigmentation slowly disappears following treatment discontinuation.</w:t>
            </w:r>
          </w:p>
        </w:tc>
      </w:tr>
    </w:tbl>
    <w:p w14:paraId="3D78272D" w14:textId="77777777" w:rsidR="0051526F" w:rsidRDefault="0051526F"/>
    <w:p w14:paraId="09F0CA29" w14:textId="77777777" w:rsidR="0051526F" w:rsidRDefault="0051526F"/>
    <w:tbl>
      <w:tblPr>
        <w:tblStyle w:val="TableGridLight1"/>
        <w:tblW w:w="10490" w:type="dxa"/>
        <w:tblInd w:w="-5" w:type="dxa"/>
        <w:tblLayout w:type="fixed"/>
        <w:tblCellMar>
          <w:top w:w="57" w:type="dxa"/>
          <w:bottom w:w="57" w:type="dxa"/>
        </w:tblCellMar>
        <w:tblLook w:val="0480" w:firstRow="0" w:lastRow="0" w:firstColumn="1" w:lastColumn="0" w:noHBand="0" w:noVBand="1"/>
      </w:tblPr>
      <w:tblGrid>
        <w:gridCol w:w="2029"/>
        <w:gridCol w:w="8461"/>
      </w:tblGrid>
      <w:tr w:rsidR="00F132AA" w:rsidRPr="00F321FC" w14:paraId="399D38CB" w14:textId="77777777" w:rsidTr="00D355FA">
        <w:tc>
          <w:tcPr>
            <w:tcW w:w="2029" w:type="dxa"/>
          </w:tcPr>
          <w:p w14:paraId="139BFC3E" w14:textId="77777777" w:rsidR="00F132AA" w:rsidRDefault="001860C1" w:rsidP="001860C1">
            <w:pPr>
              <w:pStyle w:val="Heading2"/>
              <w:rPr>
                <w:rFonts w:cs="Arial"/>
              </w:rPr>
            </w:pPr>
            <w:bookmarkStart w:id="20" w:name="eleven_patient_advice"/>
            <w:bookmarkStart w:id="21" w:name="_Toc149231795"/>
            <w:r w:rsidRPr="00F321FC">
              <w:rPr>
                <w:rFonts w:cs="Arial"/>
              </w:rPr>
              <w:t>Advice to patients and carers</w:t>
            </w:r>
            <w:bookmarkEnd w:id="20"/>
            <w:bookmarkEnd w:id="21"/>
          </w:p>
          <w:p w14:paraId="4928E953" w14:textId="77777777" w:rsidR="005D79FA" w:rsidRDefault="005D79FA" w:rsidP="005D79FA"/>
          <w:p w14:paraId="7E51F76A" w14:textId="42531282" w:rsidR="005D79FA" w:rsidRPr="005D79FA" w:rsidRDefault="005D79FA" w:rsidP="005D79FA">
            <w:r w:rsidRPr="00F321FC">
              <w:rPr>
                <w:rFonts w:cs="Arial"/>
              </w:rPr>
              <w:t>The specialist will counsel the patient with regard to the benefits and risks of treatment and will provide the patient with any relevant information and advice, including patient information leaflets on individual drugs.</w:t>
            </w:r>
          </w:p>
        </w:tc>
        <w:tc>
          <w:tcPr>
            <w:tcW w:w="8461" w:type="dxa"/>
          </w:tcPr>
          <w:p w14:paraId="77487819" w14:textId="7BDB242A" w:rsidR="00F34C5E" w:rsidRPr="00F34C5E" w:rsidRDefault="00F34C5E" w:rsidP="00F34C5E">
            <w:pPr>
              <w:pStyle w:val="Heading4"/>
            </w:pPr>
            <w:r w:rsidRPr="00F34C5E">
              <w:t xml:space="preserve">The patient should be advised to </w:t>
            </w:r>
            <w:r w:rsidR="00857AF2" w:rsidRPr="0064598F">
              <w:rPr>
                <w:u w:val="single"/>
              </w:rPr>
              <w:t>stop taking amiodarone</w:t>
            </w:r>
            <w:r w:rsidR="00857AF2">
              <w:t xml:space="preserve"> and </w:t>
            </w:r>
            <w:r w:rsidRPr="00F34C5E">
              <w:t>report any of the following signs or symptoms to their primary care prescriber without delay</w:t>
            </w:r>
            <w:r>
              <w:t>:</w:t>
            </w:r>
            <w:r w:rsidRPr="00F34C5E">
              <w:t xml:space="preserve"> </w:t>
            </w:r>
          </w:p>
          <w:p w14:paraId="1D4AFEC5" w14:textId="59361EA9" w:rsidR="00E02EB3" w:rsidRDefault="00E02EB3" w:rsidP="00F34C5E">
            <w:pPr>
              <w:pStyle w:val="ListParagraph"/>
              <w:numPr>
                <w:ilvl w:val="0"/>
                <w:numId w:val="36"/>
              </w:numPr>
              <w:rPr>
                <w:rFonts w:cs="Arial"/>
              </w:rPr>
            </w:pPr>
            <w:r>
              <w:rPr>
                <w:rFonts w:cs="Arial"/>
              </w:rPr>
              <w:t>New or worsening b</w:t>
            </w:r>
            <w:r w:rsidR="00F34C5E" w:rsidRPr="00F34C5E">
              <w:rPr>
                <w:rFonts w:cs="Arial"/>
              </w:rPr>
              <w:t xml:space="preserve">reathlessness, </w:t>
            </w:r>
            <w:r>
              <w:rPr>
                <w:rFonts w:cs="Arial"/>
              </w:rPr>
              <w:t xml:space="preserve">or </w:t>
            </w:r>
            <w:r w:rsidR="00F34C5E" w:rsidRPr="00F34C5E">
              <w:rPr>
                <w:rFonts w:cs="Arial"/>
              </w:rPr>
              <w:t xml:space="preserve">non-productive cough </w:t>
            </w:r>
          </w:p>
          <w:p w14:paraId="32343F15" w14:textId="034BA1B9" w:rsidR="00F34C5E" w:rsidRPr="00F34C5E" w:rsidRDefault="00E02EB3" w:rsidP="00F34C5E">
            <w:pPr>
              <w:pStyle w:val="ListParagraph"/>
              <w:numPr>
                <w:ilvl w:val="0"/>
                <w:numId w:val="36"/>
              </w:numPr>
              <w:rPr>
                <w:rFonts w:cs="Arial"/>
              </w:rPr>
            </w:pPr>
            <w:r>
              <w:rPr>
                <w:rFonts w:cs="Arial"/>
              </w:rPr>
              <w:t>D</w:t>
            </w:r>
            <w:r w:rsidR="00F34C5E" w:rsidRPr="00F34C5E">
              <w:rPr>
                <w:rFonts w:cs="Arial"/>
              </w:rPr>
              <w:t>eterioration in general health (e.g. fatigue, fever</w:t>
            </w:r>
            <w:r>
              <w:rPr>
                <w:rFonts w:cs="Arial"/>
              </w:rPr>
              <w:t xml:space="preserve">, </w:t>
            </w:r>
            <w:r w:rsidRPr="00E02EB3">
              <w:rPr>
                <w:rFonts w:cs="Arial"/>
              </w:rPr>
              <w:t>weakness, weight loss or weight gain, heat or cold intolerance, hair thinning, sweating, changes in menstrual periods, swelling of the neck (goitre), nervousness, irritability, restlessness, or decreased concentration</w:t>
            </w:r>
            <w:r w:rsidR="00F34C5E" w:rsidRPr="00F34C5E">
              <w:rPr>
                <w:rFonts w:cs="Arial"/>
              </w:rPr>
              <w:t>)</w:t>
            </w:r>
          </w:p>
          <w:p w14:paraId="1964E6F7" w14:textId="2E04CCB7" w:rsidR="00F34C5E" w:rsidRPr="00F34C5E" w:rsidRDefault="00F34C5E" w:rsidP="00F34C5E">
            <w:pPr>
              <w:pStyle w:val="ListParagraph"/>
              <w:numPr>
                <w:ilvl w:val="0"/>
                <w:numId w:val="36"/>
              </w:numPr>
              <w:rPr>
                <w:rFonts w:cs="Arial"/>
              </w:rPr>
            </w:pPr>
            <w:r w:rsidRPr="00F34C5E">
              <w:rPr>
                <w:rFonts w:cs="Arial"/>
              </w:rPr>
              <w:t>New or worsening visual disturbances</w:t>
            </w:r>
          </w:p>
          <w:p w14:paraId="4EFD5F81" w14:textId="51F2074F" w:rsidR="00F34C5E" w:rsidRPr="00F34C5E" w:rsidRDefault="00F34C5E" w:rsidP="00F34C5E">
            <w:pPr>
              <w:pStyle w:val="ListParagraph"/>
              <w:numPr>
                <w:ilvl w:val="0"/>
                <w:numId w:val="36"/>
              </w:numPr>
              <w:rPr>
                <w:rFonts w:cs="Arial"/>
              </w:rPr>
            </w:pPr>
            <w:r w:rsidRPr="00F34C5E">
              <w:rPr>
                <w:rFonts w:cs="Arial"/>
              </w:rPr>
              <w:t>Progressive skin rash +/- blisters or mucosal lesions</w:t>
            </w:r>
          </w:p>
          <w:p w14:paraId="6945C688" w14:textId="51CC6263" w:rsidR="00F34C5E" w:rsidRDefault="00F34C5E" w:rsidP="00F34C5E">
            <w:pPr>
              <w:pStyle w:val="ListParagraph"/>
              <w:numPr>
                <w:ilvl w:val="0"/>
                <w:numId w:val="36"/>
              </w:numPr>
              <w:rPr>
                <w:rFonts w:cs="Arial"/>
              </w:rPr>
            </w:pPr>
            <w:r w:rsidRPr="00F34C5E">
              <w:rPr>
                <w:rFonts w:cs="Arial"/>
              </w:rPr>
              <w:t>Signs and symptoms of bradycardia or heart block, e.g. dizziness, fatigue, fainting, shortness of breath, chest pain or palpitations, confusion or trouble concentrating</w:t>
            </w:r>
            <w:r w:rsidR="00E02EB3">
              <w:rPr>
                <w:rFonts w:cs="Arial"/>
              </w:rPr>
              <w:t>, uneven or erratic heartbeat</w:t>
            </w:r>
          </w:p>
          <w:p w14:paraId="1493363C" w14:textId="4621E66F" w:rsidR="00E02EB3" w:rsidRPr="00E02EB3" w:rsidRDefault="00E02EB3" w:rsidP="00E02EB3">
            <w:pPr>
              <w:pStyle w:val="ListParagraph"/>
              <w:numPr>
                <w:ilvl w:val="0"/>
                <w:numId w:val="36"/>
              </w:numPr>
              <w:rPr>
                <w:rFonts w:cs="Arial"/>
              </w:rPr>
            </w:pPr>
            <w:r w:rsidRPr="00E02EB3">
              <w:rPr>
                <w:rFonts w:cs="Arial"/>
              </w:rPr>
              <w:t>yellowing of the skin or eyes (jaundice), feeling tired or sick, loss of appetite, stomach pain, or high temperature</w:t>
            </w:r>
          </w:p>
          <w:p w14:paraId="2E870535" w14:textId="77777777" w:rsidR="00F34C5E" w:rsidRDefault="00F34C5E" w:rsidP="00F34C5E">
            <w:pPr>
              <w:rPr>
                <w:rFonts w:cs="Arial"/>
              </w:rPr>
            </w:pPr>
          </w:p>
          <w:p w14:paraId="34DE341C" w14:textId="2AA8F335" w:rsidR="00F34C5E" w:rsidRPr="00F34C5E" w:rsidRDefault="00F34C5E" w:rsidP="00F34C5E">
            <w:pPr>
              <w:pStyle w:val="Heading4"/>
            </w:pPr>
            <w:r w:rsidRPr="00F34C5E">
              <w:t>The patient should be advised:</w:t>
            </w:r>
          </w:p>
          <w:p w14:paraId="4B81F4CE" w14:textId="0787F680" w:rsidR="00F34C5E" w:rsidRPr="00F34C5E" w:rsidRDefault="00F34C5E" w:rsidP="00F34C5E">
            <w:pPr>
              <w:pStyle w:val="ListParagraph"/>
              <w:numPr>
                <w:ilvl w:val="0"/>
                <w:numId w:val="37"/>
              </w:numPr>
              <w:rPr>
                <w:rFonts w:cs="Arial"/>
              </w:rPr>
            </w:pPr>
            <w:r w:rsidRPr="00F34C5E">
              <w:rPr>
                <w:rFonts w:cs="Arial"/>
              </w:rPr>
              <w:t xml:space="preserve">To use appropriate self-care against the possibility of phototoxic reactions: e.g. sun avoidance, protective clothing, avoiding tanning (including tanning beds) and to purchase and use a </w:t>
            </w:r>
            <w:proofErr w:type="gramStart"/>
            <w:r w:rsidRPr="00F34C5E">
              <w:rPr>
                <w:rFonts w:cs="Arial"/>
              </w:rPr>
              <w:t>broad spectrum</w:t>
            </w:r>
            <w:proofErr w:type="gramEnd"/>
            <w:r w:rsidRPr="00F34C5E">
              <w:rPr>
                <w:rFonts w:cs="Arial"/>
              </w:rPr>
              <w:t xml:space="preserve"> sunscreen (at least SPF30).  These measures </w:t>
            </w:r>
            <w:r w:rsidR="00E02EB3">
              <w:rPr>
                <w:rFonts w:cs="Arial"/>
              </w:rPr>
              <w:t>should</w:t>
            </w:r>
            <w:r w:rsidR="00E02EB3" w:rsidRPr="00F34C5E">
              <w:rPr>
                <w:rFonts w:cs="Arial"/>
              </w:rPr>
              <w:t xml:space="preserve"> </w:t>
            </w:r>
            <w:r w:rsidRPr="00F34C5E">
              <w:rPr>
                <w:rFonts w:cs="Arial"/>
              </w:rPr>
              <w:t xml:space="preserve">be continued for the duration of therapy and for several months after discontinuation. </w:t>
            </w:r>
          </w:p>
          <w:p w14:paraId="53996C7C" w14:textId="3FA254BF" w:rsidR="00F34C5E" w:rsidRPr="00F34C5E" w:rsidRDefault="00F34C5E" w:rsidP="00F34C5E">
            <w:pPr>
              <w:pStyle w:val="ListParagraph"/>
              <w:numPr>
                <w:ilvl w:val="0"/>
                <w:numId w:val="37"/>
              </w:numPr>
              <w:rPr>
                <w:rFonts w:cs="Arial"/>
              </w:rPr>
            </w:pPr>
            <w:r w:rsidRPr="00F34C5E">
              <w:rPr>
                <w:rFonts w:cs="Arial"/>
              </w:rPr>
              <w:t>If taking a statin and amiodarone, to report any signs of unexplained muscle pain, tenderness, weakness or dark coloured urine.</w:t>
            </w:r>
          </w:p>
          <w:p w14:paraId="3FE3AF3B" w14:textId="18AECD1C" w:rsidR="00F34C5E" w:rsidRPr="00F34C5E" w:rsidRDefault="00F34C5E" w:rsidP="00F34C5E">
            <w:pPr>
              <w:pStyle w:val="ListParagraph"/>
              <w:numPr>
                <w:ilvl w:val="0"/>
                <w:numId w:val="37"/>
              </w:numPr>
              <w:rPr>
                <w:rFonts w:cs="Arial"/>
              </w:rPr>
            </w:pPr>
            <w:r w:rsidRPr="00F34C5E">
              <w:rPr>
                <w:rFonts w:cs="Arial"/>
              </w:rPr>
              <w:lastRenderedPageBreak/>
              <w:t>Avoid grapefruit and grapefruit juice while taking amiodarone and for several months after discontinuation.</w:t>
            </w:r>
          </w:p>
          <w:p w14:paraId="1CC650A3" w14:textId="08291716" w:rsidR="00F34C5E" w:rsidRDefault="00F34C5E" w:rsidP="00F34C5E">
            <w:pPr>
              <w:pStyle w:val="ListParagraph"/>
              <w:numPr>
                <w:ilvl w:val="0"/>
                <w:numId w:val="37"/>
              </w:numPr>
              <w:rPr>
                <w:rFonts w:cs="Arial"/>
              </w:rPr>
            </w:pPr>
            <w:r w:rsidRPr="00F34C5E">
              <w:rPr>
                <w:rFonts w:cs="Arial"/>
              </w:rPr>
              <w:t>Although there have been no case reports on enhanced hepatoxicity with alcohol, patients should be advised to moderate their alcohol intake to no more than 14 units per week while taking amiodarone.</w:t>
            </w:r>
          </w:p>
          <w:p w14:paraId="3BBEF76C" w14:textId="5B613982" w:rsidR="00E02EB3" w:rsidRPr="00F34C5E" w:rsidRDefault="00E02EB3" w:rsidP="00F34C5E">
            <w:pPr>
              <w:pStyle w:val="ListParagraph"/>
              <w:numPr>
                <w:ilvl w:val="0"/>
                <w:numId w:val="37"/>
              </w:numPr>
              <w:rPr>
                <w:rFonts w:cs="Arial"/>
              </w:rPr>
            </w:pPr>
            <w:r>
              <w:rPr>
                <w:rFonts w:cs="Arial"/>
              </w:rPr>
              <w:t>A</w:t>
            </w:r>
            <w:r w:rsidRPr="00E02EB3">
              <w:rPr>
                <w:rFonts w:cs="Arial"/>
              </w:rPr>
              <w:t>lways read the Patient Information Leaflet provided with medicines and follow the advice on other medicines to avoid and what to do a side effect</w:t>
            </w:r>
            <w:r>
              <w:rPr>
                <w:rFonts w:cs="Arial"/>
              </w:rPr>
              <w:t xml:space="preserve"> occurs.</w:t>
            </w:r>
          </w:p>
          <w:p w14:paraId="36544749" w14:textId="77777777" w:rsidR="00F34C5E" w:rsidRPr="00F34C5E" w:rsidRDefault="00F34C5E" w:rsidP="00F34C5E">
            <w:pPr>
              <w:rPr>
                <w:rFonts w:cs="Arial"/>
              </w:rPr>
            </w:pPr>
          </w:p>
          <w:p w14:paraId="7F104DC2" w14:textId="77777777" w:rsidR="00F34C5E" w:rsidRPr="00F34C5E" w:rsidRDefault="00F34C5E" w:rsidP="00F34C5E">
            <w:pPr>
              <w:rPr>
                <w:rFonts w:cs="Arial"/>
              </w:rPr>
            </w:pPr>
            <w:r w:rsidRPr="00F34C5E">
              <w:rPr>
                <w:rStyle w:val="Heading4Char"/>
              </w:rPr>
              <w:t>Patient information</w:t>
            </w:r>
            <w:r w:rsidRPr="00F34C5E">
              <w:rPr>
                <w:rFonts w:cs="Arial"/>
              </w:rPr>
              <w:t>:</w:t>
            </w:r>
          </w:p>
          <w:p w14:paraId="40627BFC" w14:textId="031848FB" w:rsidR="00E02EB3" w:rsidRPr="00E02EB3" w:rsidRDefault="00E02EB3" w:rsidP="00F34C5E">
            <w:pPr>
              <w:pStyle w:val="ListParagraph"/>
              <w:numPr>
                <w:ilvl w:val="0"/>
                <w:numId w:val="35"/>
              </w:numPr>
              <w:rPr>
                <w:rFonts w:cs="Arial"/>
              </w:rPr>
            </w:pPr>
            <w:r w:rsidRPr="00E02EB3">
              <w:rPr>
                <w:rFonts w:cs="Arial"/>
              </w:rPr>
              <w:t xml:space="preserve">A </w:t>
            </w:r>
            <w:hyperlink r:id="rId26" w:history="1">
              <w:r w:rsidRPr="00E02EB3">
                <w:rPr>
                  <w:rStyle w:val="Hyperlink"/>
                  <w:rFonts w:cs="Arial"/>
                </w:rPr>
                <w:t>patient card</w:t>
              </w:r>
            </w:hyperlink>
            <w:r w:rsidRPr="00E02EB3">
              <w:rPr>
                <w:rFonts w:cs="Arial"/>
              </w:rPr>
              <w:t xml:space="preserve"> is available for all patients that take amiodarone. This card includes important information on the most serious and potentially life-threatening side-effects (and their symptoms) that may occur during treatment with amiodarone and also reminds patients of the potential for drug</w:t>
            </w:r>
            <w:r w:rsidR="00AC5E59">
              <w:rPr>
                <w:rFonts w:cs="Arial"/>
              </w:rPr>
              <w:t>-</w:t>
            </w:r>
            <w:r w:rsidRPr="00E02EB3">
              <w:rPr>
                <w:rFonts w:cs="Arial"/>
              </w:rPr>
              <w:t>to</w:t>
            </w:r>
            <w:r w:rsidR="00AC5E59">
              <w:rPr>
                <w:rFonts w:cs="Arial"/>
              </w:rPr>
              <w:t>-</w:t>
            </w:r>
            <w:r w:rsidRPr="00E02EB3">
              <w:rPr>
                <w:rFonts w:cs="Arial"/>
              </w:rPr>
              <w:t>drug interactions.</w:t>
            </w:r>
          </w:p>
          <w:p w14:paraId="298DA26F" w14:textId="037BD336" w:rsidR="00F132AA" w:rsidRPr="00F34C5E" w:rsidRDefault="00F34C5E" w:rsidP="00F34C5E">
            <w:pPr>
              <w:pStyle w:val="ListParagraph"/>
              <w:numPr>
                <w:ilvl w:val="0"/>
                <w:numId w:val="35"/>
              </w:numPr>
              <w:rPr>
                <w:rFonts w:cs="Arial"/>
              </w:rPr>
            </w:pPr>
            <w:hyperlink r:id="rId27" w:history="1">
              <w:r w:rsidRPr="00F34C5E">
                <w:rPr>
                  <w:rStyle w:val="Hyperlink"/>
                  <w:rFonts w:cs="Arial"/>
                </w:rPr>
                <w:t>British Heart Foundation – anti-arrhythmics</w:t>
              </w:r>
            </w:hyperlink>
          </w:p>
        </w:tc>
      </w:tr>
      <w:tr w:rsidR="001860C1" w:rsidRPr="00F321FC" w14:paraId="317161E6" w14:textId="77777777" w:rsidTr="00D355FA">
        <w:tc>
          <w:tcPr>
            <w:tcW w:w="2029" w:type="dxa"/>
          </w:tcPr>
          <w:p w14:paraId="7BADD8F8" w14:textId="77777777" w:rsidR="001860C1" w:rsidRDefault="009F106E" w:rsidP="009F106E">
            <w:pPr>
              <w:pStyle w:val="Heading2"/>
              <w:rPr>
                <w:rFonts w:cs="Arial"/>
              </w:rPr>
            </w:pPr>
            <w:bookmarkStart w:id="22" w:name="twelve_pregnancy"/>
            <w:bookmarkStart w:id="23" w:name="_Toc149231796"/>
            <w:r w:rsidRPr="00F321FC">
              <w:rPr>
                <w:rFonts w:cs="Arial"/>
              </w:rPr>
              <w:lastRenderedPageBreak/>
              <w:t>Pregnancy</w:t>
            </w:r>
            <w:r w:rsidR="00FB404F">
              <w:rPr>
                <w:rFonts w:cs="Arial"/>
              </w:rPr>
              <w:t>, paternal exposure</w:t>
            </w:r>
            <w:r w:rsidRPr="00F321FC">
              <w:rPr>
                <w:rFonts w:cs="Arial"/>
              </w:rPr>
              <w:t xml:space="preserve"> and breastfeeding</w:t>
            </w:r>
            <w:bookmarkEnd w:id="22"/>
            <w:bookmarkEnd w:id="23"/>
          </w:p>
          <w:p w14:paraId="0AE00B39" w14:textId="77777777" w:rsidR="005D79FA" w:rsidRDefault="005D79FA" w:rsidP="005D79FA"/>
          <w:p w14:paraId="4C3ACC97" w14:textId="3495C602" w:rsidR="005D79FA" w:rsidRPr="005D79FA" w:rsidRDefault="005D79FA" w:rsidP="0051526F"/>
        </w:tc>
        <w:tc>
          <w:tcPr>
            <w:tcW w:w="8461" w:type="dxa"/>
          </w:tcPr>
          <w:p w14:paraId="588B71AB" w14:textId="77777777" w:rsidR="0051526F" w:rsidRDefault="0051526F" w:rsidP="0051526F">
            <w:pPr>
              <w:rPr>
                <w:rFonts w:cs="Arial"/>
              </w:rPr>
            </w:pPr>
            <w:r w:rsidRPr="00FB404F">
              <w:rPr>
                <w:rFonts w:cs="Arial"/>
              </w:rPr>
              <w:t>It is the responsibility of the specialist to provide advice on the need for contraception to male and female patients on initiation and at each review, but the ongoing responsibility for providing this advice rests with both the primary care prescriber and the specialist.</w:t>
            </w:r>
          </w:p>
          <w:p w14:paraId="4EBC4C15" w14:textId="77777777" w:rsidR="00F34C5E" w:rsidRPr="00F34C5E" w:rsidRDefault="00F34C5E" w:rsidP="00F34C5E">
            <w:pPr>
              <w:rPr>
                <w:rFonts w:cs="Arial"/>
              </w:rPr>
            </w:pPr>
            <w:r w:rsidRPr="00F34C5E">
              <w:rPr>
                <w:rStyle w:val="Heading4Char"/>
              </w:rPr>
              <w:t>Pregnancy</w:t>
            </w:r>
            <w:r w:rsidRPr="00F34C5E">
              <w:rPr>
                <w:rFonts w:cs="Arial"/>
              </w:rPr>
              <w:t>:</w:t>
            </w:r>
          </w:p>
          <w:p w14:paraId="28BF9C25" w14:textId="45A02505" w:rsidR="00F34C5E" w:rsidRDefault="00F34C5E" w:rsidP="00F34C5E">
            <w:pPr>
              <w:rPr>
                <w:rFonts w:cs="Arial"/>
              </w:rPr>
            </w:pPr>
            <w:r w:rsidRPr="00F34C5E">
              <w:rPr>
                <w:rFonts w:cs="Arial"/>
              </w:rPr>
              <w:t>Due to the risk of neonatal goitre, amiodarone should only be prescribed in pregnancy if there is no alternative. Under these circumstances prescribing and monitoring will be the responsibility of the initiating specialist</w:t>
            </w:r>
            <w:r w:rsidR="00DD2C27">
              <w:rPr>
                <w:rFonts w:cs="Arial"/>
              </w:rPr>
              <w:t>; shared care is not appropriate</w:t>
            </w:r>
            <w:r w:rsidRPr="00F34C5E">
              <w:rPr>
                <w:rFonts w:cs="Arial"/>
              </w:rPr>
              <w:t xml:space="preserve">. </w:t>
            </w:r>
          </w:p>
          <w:p w14:paraId="59D5FB1A" w14:textId="77777777" w:rsidR="00F34C5E" w:rsidRPr="00F34C5E" w:rsidRDefault="00F34C5E" w:rsidP="00F34C5E">
            <w:pPr>
              <w:rPr>
                <w:rFonts w:cs="Arial"/>
              </w:rPr>
            </w:pPr>
            <w:r w:rsidRPr="00F34C5E">
              <w:rPr>
                <w:rStyle w:val="Heading4Char"/>
              </w:rPr>
              <w:t>Breastfeeding</w:t>
            </w:r>
            <w:r w:rsidRPr="00F34C5E">
              <w:rPr>
                <w:rFonts w:cs="Arial"/>
              </w:rPr>
              <w:t>:</w:t>
            </w:r>
          </w:p>
          <w:p w14:paraId="010EEF1D" w14:textId="77777777" w:rsidR="00F34C5E" w:rsidRPr="00F34C5E" w:rsidRDefault="00F34C5E" w:rsidP="00F34C5E">
            <w:pPr>
              <w:rPr>
                <w:rFonts w:cs="Arial"/>
              </w:rPr>
            </w:pPr>
            <w:r w:rsidRPr="00F34C5E">
              <w:rPr>
                <w:rFonts w:cs="Arial"/>
              </w:rPr>
              <w:t xml:space="preserve">Amiodarone is excreted into the breast milk in significant quantities; breast feeding is considered contraindicated due to the potential risk of iodine-associated adverse effects in the infant. </w:t>
            </w:r>
          </w:p>
          <w:p w14:paraId="06C7937A" w14:textId="5BF23B5D" w:rsidR="00FB404F" w:rsidRPr="00F34C5E" w:rsidRDefault="00F34C5E" w:rsidP="00F34C5E">
            <w:pPr>
              <w:pStyle w:val="ListParagraph"/>
              <w:numPr>
                <w:ilvl w:val="0"/>
                <w:numId w:val="35"/>
              </w:numPr>
              <w:rPr>
                <w:rFonts w:cs="Arial"/>
              </w:rPr>
            </w:pPr>
            <w:r w:rsidRPr="00F34C5E">
              <w:rPr>
                <w:rFonts w:cs="Arial"/>
              </w:rPr>
              <w:t xml:space="preserve">Information for healthcare professionals: </w:t>
            </w:r>
            <w:hyperlink r:id="rId28" w:history="1">
              <w:r w:rsidRPr="00F34C5E">
                <w:rPr>
                  <w:rStyle w:val="Hyperlink"/>
                  <w:rFonts w:cs="Arial"/>
                </w:rPr>
                <w:t>UK Drugs in Lactation Advisory Service</w:t>
              </w:r>
            </w:hyperlink>
            <w:r w:rsidRPr="00F34C5E">
              <w:rPr>
                <w:rFonts w:cs="Arial"/>
              </w:rPr>
              <w:t xml:space="preserve"> </w:t>
            </w:r>
          </w:p>
        </w:tc>
      </w:tr>
      <w:tr w:rsidR="000A58B9" w:rsidRPr="00F321FC" w14:paraId="6398E15E" w14:textId="77777777" w:rsidTr="00D355FA">
        <w:tc>
          <w:tcPr>
            <w:tcW w:w="2029" w:type="dxa"/>
          </w:tcPr>
          <w:p w14:paraId="6BB398C7" w14:textId="6C037366" w:rsidR="000A58B9" w:rsidRPr="00F321FC" w:rsidRDefault="000A58B9" w:rsidP="000A58B9">
            <w:pPr>
              <w:pStyle w:val="Heading2"/>
              <w:rPr>
                <w:rFonts w:cs="Arial"/>
              </w:rPr>
            </w:pPr>
            <w:bookmarkStart w:id="24" w:name="thirteen_specialist_contact"/>
            <w:bookmarkStart w:id="25" w:name="_Toc149231797"/>
            <w:r w:rsidRPr="00F321FC">
              <w:rPr>
                <w:rFonts w:cs="Arial"/>
              </w:rPr>
              <w:t>Specialist contact information</w:t>
            </w:r>
            <w:r>
              <w:rPr>
                <w:rFonts w:cs="Arial"/>
              </w:rPr>
              <w:t xml:space="preserve"> and arrangements for referral</w:t>
            </w:r>
            <w:bookmarkEnd w:id="24"/>
            <w:bookmarkEnd w:id="25"/>
          </w:p>
        </w:tc>
        <w:tc>
          <w:tcPr>
            <w:tcW w:w="8461" w:type="dxa"/>
          </w:tcPr>
          <w:p w14:paraId="61CEB68E" w14:textId="77777777" w:rsidR="00D0776C" w:rsidRPr="008662CB" w:rsidRDefault="00D0776C" w:rsidP="00D0776C">
            <w:pPr>
              <w:spacing w:before="0" w:after="0"/>
              <w:rPr>
                <w:rFonts w:eastAsia="Times New Roman" w:cs="Arial"/>
                <w:b/>
                <w:bCs/>
                <w:lang w:eastAsia="en-GB"/>
              </w:rPr>
            </w:pPr>
            <w:r w:rsidRPr="008662CB">
              <w:rPr>
                <w:rFonts w:eastAsia="Times New Roman" w:cs="Arial"/>
                <w:b/>
                <w:bCs/>
                <w:lang w:eastAsia="en-GB"/>
              </w:rPr>
              <w:t>The following circumstances/ changes in the patient’s condition require discussion with the specialist team:</w:t>
            </w:r>
          </w:p>
          <w:p w14:paraId="523E4066" w14:textId="77777777" w:rsidR="00D0776C" w:rsidRPr="008662CB" w:rsidRDefault="00D0776C" w:rsidP="00D0776C">
            <w:pPr>
              <w:numPr>
                <w:ilvl w:val="0"/>
                <w:numId w:val="44"/>
              </w:numPr>
              <w:spacing w:before="0" w:after="0"/>
              <w:contextualSpacing/>
              <w:rPr>
                <w:rFonts w:eastAsia="Times New Roman" w:cs="Arial"/>
                <w:bCs/>
                <w:lang w:eastAsia="en-GB"/>
              </w:rPr>
            </w:pPr>
            <w:r w:rsidRPr="008662CB">
              <w:rPr>
                <w:rFonts w:eastAsia="Times New Roman" w:cs="Arial"/>
                <w:bCs/>
                <w:lang w:eastAsia="en-GB"/>
              </w:rPr>
              <w:t>If pregnancy occurs or if the patient is planning to become pregnant or breastfeed.</w:t>
            </w:r>
          </w:p>
          <w:p w14:paraId="39396897" w14:textId="77777777" w:rsidR="00D0776C" w:rsidRPr="008662CB" w:rsidRDefault="00D0776C" w:rsidP="00D0776C">
            <w:pPr>
              <w:numPr>
                <w:ilvl w:val="0"/>
                <w:numId w:val="44"/>
              </w:numPr>
              <w:spacing w:before="0" w:after="0"/>
              <w:contextualSpacing/>
              <w:rPr>
                <w:rFonts w:eastAsia="Times New Roman" w:cs="Arial"/>
                <w:bCs/>
                <w:lang w:eastAsia="en-GB"/>
              </w:rPr>
            </w:pPr>
            <w:r w:rsidRPr="008662CB">
              <w:rPr>
                <w:rFonts w:eastAsia="Times New Roman" w:cs="Arial"/>
                <w:bCs/>
                <w:lang w:eastAsia="en-GB"/>
              </w:rPr>
              <w:t>If non-compliance is suspected or the patient fails to attend monitoring appointments and the primary care prescriber considers it no longer safe to continue prescribing.  (All appropriate steps must first be taken by primary care to reinforce the importance of attendance to the patient)</w:t>
            </w:r>
          </w:p>
          <w:p w14:paraId="08C6124F" w14:textId="20A8B35E" w:rsidR="00D0776C" w:rsidRPr="008662CB" w:rsidRDefault="00D0776C" w:rsidP="00D0776C">
            <w:pPr>
              <w:numPr>
                <w:ilvl w:val="0"/>
                <w:numId w:val="44"/>
              </w:numPr>
              <w:spacing w:before="0" w:after="0"/>
              <w:contextualSpacing/>
              <w:rPr>
                <w:rFonts w:eastAsia="Times New Roman" w:cs="Arial"/>
                <w:bCs/>
                <w:lang w:eastAsia="en-GB"/>
              </w:rPr>
            </w:pPr>
            <w:r w:rsidRPr="008662CB">
              <w:rPr>
                <w:rFonts w:eastAsia="Times New Roman" w:cs="Arial"/>
                <w:bCs/>
                <w:lang w:eastAsia="en-GB"/>
              </w:rPr>
              <w:t>The patient’s clinical condition deteriorates such that the primary care prescriber feels a dose change is required/ the patient no longer appears to be benefiting from therapy.</w:t>
            </w:r>
          </w:p>
          <w:p w14:paraId="2DD81EB3" w14:textId="77777777" w:rsidR="00D0776C" w:rsidRDefault="00D0776C" w:rsidP="00D0776C">
            <w:pPr>
              <w:spacing w:after="0"/>
              <w:rPr>
                <w:rFonts w:eastAsia="Times New Roman" w:cstheme="minorHAnsi"/>
                <w:b/>
                <w:bCs/>
              </w:rPr>
            </w:pPr>
          </w:p>
          <w:p w14:paraId="1EC65E7B" w14:textId="1D52B3BD" w:rsidR="000A58B9" w:rsidRPr="001A5D5C" w:rsidRDefault="000A58B9" w:rsidP="000A58B9">
            <w:pPr>
              <w:spacing w:after="0"/>
              <w:rPr>
                <w:rFonts w:eastAsia="Times New Roman" w:cstheme="minorHAnsi"/>
                <w:b/>
                <w:bCs/>
              </w:rPr>
            </w:pPr>
            <w:r w:rsidRPr="001A5D5C">
              <w:rPr>
                <w:rFonts w:eastAsia="Times New Roman" w:cstheme="minorHAnsi"/>
                <w:b/>
                <w:bCs/>
              </w:rPr>
              <w:t>Name: County Durham and Darlington FT Cardiology Team</w:t>
            </w:r>
          </w:p>
          <w:p w14:paraId="3B236994" w14:textId="77777777" w:rsidR="000A58B9" w:rsidRDefault="000A58B9" w:rsidP="000A58B9">
            <w:pPr>
              <w:spacing w:after="0"/>
              <w:rPr>
                <w:rFonts w:cstheme="minorHAnsi"/>
              </w:rPr>
            </w:pPr>
            <w:r w:rsidRPr="000C78FF">
              <w:rPr>
                <w:rFonts w:eastAsia="Times New Roman" w:cstheme="minorHAnsi"/>
              </w:rPr>
              <w:t>Telephone number: C</w:t>
            </w:r>
            <w:r w:rsidRPr="000C78FF">
              <w:rPr>
                <w:rFonts w:cstheme="minorHAnsi"/>
              </w:rPr>
              <w:t>onsultant’s secretary via switch or if urgent on-call cardiologist via switch</w:t>
            </w:r>
            <w:r>
              <w:rPr>
                <w:rFonts w:cstheme="minorHAnsi"/>
              </w:rPr>
              <w:t>.</w:t>
            </w:r>
          </w:p>
          <w:p w14:paraId="589624E3" w14:textId="77777777" w:rsidR="000A58B9" w:rsidRPr="00E1766A" w:rsidRDefault="000A58B9" w:rsidP="000A58B9">
            <w:pPr>
              <w:spacing w:after="0"/>
              <w:rPr>
                <w:rFonts w:eastAsia="Times New Roman" w:cstheme="minorHAnsi"/>
              </w:rPr>
            </w:pPr>
            <w:r w:rsidRPr="00E1766A">
              <w:rPr>
                <w:rFonts w:eastAsia="Times New Roman" w:cstheme="minorHAnsi"/>
              </w:rPr>
              <w:t>Bishop Auckland Hospital - 01388 455512</w:t>
            </w:r>
          </w:p>
          <w:p w14:paraId="1311F54E" w14:textId="77777777" w:rsidR="000A58B9" w:rsidRPr="00E1766A" w:rsidRDefault="000A58B9" w:rsidP="000A58B9">
            <w:pPr>
              <w:spacing w:after="0"/>
              <w:rPr>
                <w:rFonts w:eastAsia="Times New Roman" w:cstheme="minorHAnsi"/>
              </w:rPr>
            </w:pPr>
            <w:r w:rsidRPr="00E1766A">
              <w:rPr>
                <w:rFonts w:eastAsia="Times New Roman" w:cstheme="minorHAnsi"/>
              </w:rPr>
              <w:t>Darlington Memorial Hospital - 01325 743154</w:t>
            </w:r>
          </w:p>
          <w:p w14:paraId="32FC66D6" w14:textId="77777777" w:rsidR="000A58B9" w:rsidRDefault="000A58B9" w:rsidP="000A58B9">
            <w:pPr>
              <w:spacing w:after="0"/>
              <w:rPr>
                <w:rFonts w:eastAsia="Times New Roman" w:cstheme="minorHAnsi"/>
              </w:rPr>
            </w:pPr>
            <w:r w:rsidRPr="00E1766A">
              <w:rPr>
                <w:rFonts w:eastAsia="Times New Roman" w:cstheme="minorHAnsi"/>
              </w:rPr>
              <w:t>University Hospital of North Durham and Shotley Bridge Hospital - 0191 3332196</w:t>
            </w:r>
          </w:p>
          <w:p w14:paraId="1801EDBF" w14:textId="77777777" w:rsidR="000A58B9" w:rsidRDefault="000A58B9" w:rsidP="000A58B9">
            <w:pPr>
              <w:spacing w:after="0"/>
              <w:rPr>
                <w:rFonts w:eastAsia="Times New Roman" w:cstheme="minorHAnsi"/>
              </w:rPr>
            </w:pPr>
          </w:p>
          <w:p w14:paraId="1D0A6F3D" w14:textId="77777777" w:rsidR="000A58B9" w:rsidRPr="001A5D5C" w:rsidRDefault="000A58B9" w:rsidP="000A58B9">
            <w:pPr>
              <w:spacing w:after="0"/>
              <w:rPr>
                <w:rFonts w:eastAsia="Times New Roman" w:cstheme="minorHAnsi"/>
                <w:b/>
                <w:bCs/>
              </w:rPr>
            </w:pPr>
            <w:r w:rsidRPr="001A5D5C">
              <w:rPr>
                <w:rFonts w:eastAsia="Times New Roman" w:cstheme="minorHAnsi"/>
                <w:b/>
                <w:bCs/>
              </w:rPr>
              <w:lastRenderedPageBreak/>
              <w:t>Name: Gateshead FT Cardiology team</w:t>
            </w:r>
          </w:p>
          <w:p w14:paraId="345A2923" w14:textId="77777777" w:rsidR="000A58B9" w:rsidRDefault="000A58B9" w:rsidP="000A58B9">
            <w:pPr>
              <w:spacing w:after="0"/>
              <w:rPr>
                <w:rFonts w:eastAsia="Times New Roman" w:cstheme="minorHAnsi"/>
              </w:rPr>
            </w:pPr>
            <w:r w:rsidRPr="000C78FF">
              <w:rPr>
                <w:rFonts w:eastAsia="Times New Roman" w:cstheme="minorHAnsi"/>
              </w:rPr>
              <w:t>Telephone number: C</w:t>
            </w:r>
            <w:r w:rsidRPr="000C78FF">
              <w:rPr>
                <w:rFonts w:cstheme="minorHAnsi"/>
              </w:rPr>
              <w:t>onsultant’s secretary via switch or if urgent on-call cardiologist via switch</w:t>
            </w:r>
            <w:r>
              <w:rPr>
                <w:rFonts w:cstheme="minorHAnsi"/>
              </w:rPr>
              <w:t xml:space="preserve"> 0191 4820000</w:t>
            </w:r>
          </w:p>
          <w:p w14:paraId="01E9037A" w14:textId="77777777" w:rsidR="000A58B9" w:rsidRDefault="000A58B9" w:rsidP="000A58B9">
            <w:pPr>
              <w:spacing w:after="0"/>
              <w:rPr>
                <w:rFonts w:eastAsia="Times New Roman" w:cstheme="minorHAnsi"/>
              </w:rPr>
            </w:pPr>
          </w:p>
          <w:p w14:paraId="6337180A" w14:textId="77777777" w:rsidR="000A58B9" w:rsidRPr="001A5D5C" w:rsidRDefault="000A58B9" w:rsidP="000A58B9">
            <w:pPr>
              <w:spacing w:after="0"/>
              <w:rPr>
                <w:rFonts w:eastAsia="Times New Roman" w:cstheme="minorHAnsi"/>
                <w:b/>
                <w:bCs/>
              </w:rPr>
            </w:pPr>
            <w:r w:rsidRPr="001A5D5C">
              <w:rPr>
                <w:rFonts w:eastAsia="Times New Roman" w:cstheme="minorHAnsi"/>
                <w:b/>
                <w:bCs/>
              </w:rPr>
              <w:t>Name: North Cumbria FT Cardiology team</w:t>
            </w:r>
          </w:p>
          <w:p w14:paraId="53A224BB" w14:textId="77777777" w:rsidR="000A58B9" w:rsidRDefault="000A58B9" w:rsidP="000A58B9">
            <w:pPr>
              <w:spacing w:after="0"/>
              <w:rPr>
                <w:rFonts w:eastAsia="Times New Roman" w:cstheme="minorHAnsi"/>
              </w:rPr>
            </w:pPr>
            <w:r w:rsidRPr="00E1766A">
              <w:rPr>
                <w:rFonts w:eastAsia="Times New Roman" w:cstheme="minorHAnsi"/>
              </w:rPr>
              <w:t>Telephone number: Consultant’s secretary via switch or if urgent on-call cardiologist via switch</w:t>
            </w:r>
          </w:p>
          <w:p w14:paraId="0E67F666" w14:textId="77777777" w:rsidR="000A58B9" w:rsidRPr="00E1766A" w:rsidRDefault="000A58B9" w:rsidP="000A58B9">
            <w:pPr>
              <w:spacing w:after="0"/>
              <w:rPr>
                <w:rFonts w:eastAsia="Times New Roman" w:cstheme="minorHAnsi"/>
              </w:rPr>
            </w:pPr>
            <w:r w:rsidRPr="00E1766A">
              <w:rPr>
                <w:rFonts w:eastAsia="Times New Roman" w:cstheme="minorHAnsi"/>
              </w:rPr>
              <w:t>Cumberland Infirmary: 01228 523444</w:t>
            </w:r>
          </w:p>
          <w:p w14:paraId="45646013" w14:textId="77777777" w:rsidR="000A58B9" w:rsidRDefault="000A58B9" w:rsidP="000A58B9">
            <w:pPr>
              <w:spacing w:after="0"/>
              <w:rPr>
                <w:rFonts w:eastAsia="Times New Roman" w:cstheme="minorHAnsi"/>
              </w:rPr>
            </w:pPr>
            <w:r w:rsidRPr="00E1766A">
              <w:rPr>
                <w:rFonts w:eastAsia="Times New Roman" w:cstheme="minorHAnsi"/>
              </w:rPr>
              <w:t>West Cumberland Hospital: 01946 693181</w:t>
            </w:r>
          </w:p>
          <w:p w14:paraId="36C69B82" w14:textId="77777777" w:rsidR="000A58B9" w:rsidRDefault="000A58B9" w:rsidP="000A58B9">
            <w:pPr>
              <w:spacing w:after="0"/>
              <w:rPr>
                <w:rFonts w:eastAsia="Times New Roman" w:cstheme="minorHAnsi"/>
              </w:rPr>
            </w:pPr>
          </w:p>
          <w:p w14:paraId="7C48A590" w14:textId="77777777" w:rsidR="000A58B9" w:rsidRPr="001A5D5C" w:rsidRDefault="000A58B9" w:rsidP="000A58B9">
            <w:pPr>
              <w:spacing w:after="0"/>
              <w:rPr>
                <w:rFonts w:eastAsia="Times New Roman" w:cstheme="minorHAnsi"/>
                <w:b/>
                <w:bCs/>
              </w:rPr>
            </w:pPr>
            <w:r w:rsidRPr="001A5D5C">
              <w:rPr>
                <w:rFonts w:eastAsia="Times New Roman" w:cstheme="minorHAnsi"/>
                <w:b/>
                <w:bCs/>
              </w:rPr>
              <w:t>Name: South Tees FT Cardiology team</w:t>
            </w:r>
          </w:p>
          <w:p w14:paraId="0A046F44" w14:textId="77777777" w:rsidR="000A58B9" w:rsidRDefault="000A58B9" w:rsidP="000A58B9">
            <w:pPr>
              <w:spacing w:after="0"/>
              <w:rPr>
                <w:rFonts w:eastAsia="Times New Roman" w:cstheme="minorHAnsi"/>
              </w:rPr>
            </w:pPr>
            <w:r w:rsidRPr="00E1766A">
              <w:rPr>
                <w:rFonts w:eastAsia="Times New Roman" w:cstheme="minorHAnsi"/>
              </w:rPr>
              <w:t>Telephone number: Consultant’s secretary via switch or if urgent on-call cardiologist via switch</w:t>
            </w:r>
          </w:p>
          <w:p w14:paraId="672D312F" w14:textId="77777777" w:rsidR="000A58B9" w:rsidRPr="00E1766A" w:rsidRDefault="000A58B9" w:rsidP="000A58B9">
            <w:pPr>
              <w:spacing w:after="0"/>
              <w:rPr>
                <w:rFonts w:eastAsia="Times New Roman" w:cstheme="minorHAnsi"/>
              </w:rPr>
            </w:pPr>
            <w:r w:rsidRPr="00E1766A">
              <w:rPr>
                <w:rFonts w:eastAsia="Times New Roman" w:cstheme="minorHAnsi"/>
              </w:rPr>
              <w:t>The James Cook University Hospital</w:t>
            </w:r>
            <w:r>
              <w:rPr>
                <w:rFonts w:eastAsia="Times New Roman" w:cstheme="minorHAnsi"/>
              </w:rPr>
              <w:t xml:space="preserve">: </w:t>
            </w:r>
            <w:r w:rsidRPr="00E1766A">
              <w:rPr>
                <w:rFonts w:eastAsia="Times New Roman" w:cstheme="minorHAnsi"/>
              </w:rPr>
              <w:t>01642 850850</w:t>
            </w:r>
          </w:p>
          <w:p w14:paraId="4BC4BBBA" w14:textId="77777777" w:rsidR="000A58B9" w:rsidRDefault="000A58B9" w:rsidP="000A58B9">
            <w:pPr>
              <w:spacing w:after="0"/>
              <w:rPr>
                <w:rFonts w:eastAsia="Times New Roman" w:cstheme="minorHAnsi"/>
              </w:rPr>
            </w:pPr>
            <w:r w:rsidRPr="00E1766A">
              <w:rPr>
                <w:rFonts w:eastAsia="Times New Roman" w:cstheme="minorHAnsi"/>
              </w:rPr>
              <w:t>Friarage Hospital</w:t>
            </w:r>
            <w:r>
              <w:rPr>
                <w:rFonts w:eastAsia="Times New Roman" w:cstheme="minorHAnsi"/>
              </w:rPr>
              <w:t xml:space="preserve">: </w:t>
            </w:r>
            <w:r w:rsidRPr="00E1766A">
              <w:rPr>
                <w:rFonts w:eastAsia="Times New Roman" w:cstheme="minorHAnsi"/>
              </w:rPr>
              <w:t>01609 779911</w:t>
            </w:r>
          </w:p>
          <w:p w14:paraId="5562BEBD" w14:textId="77777777" w:rsidR="000A58B9" w:rsidRDefault="000A58B9" w:rsidP="000A58B9">
            <w:pPr>
              <w:spacing w:after="0"/>
              <w:rPr>
                <w:rFonts w:eastAsia="Times New Roman" w:cstheme="minorHAnsi"/>
              </w:rPr>
            </w:pPr>
          </w:p>
          <w:p w14:paraId="483C2F47" w14:textId="77777777" w:rsidR="000A58B9" w:rsidRPr="001A5D5C" w:rsidRDefault="000A58B9" w:rsidP="000A58B9">
            <w:pPr>
              <w:spacing w:after="0"/>
              <w:rPr>
                <w:rFonts w:eastAsia="Times New Roman" w:cstheme="minorHAnsi"/>
                <w:b/>
                <w:bCs/>
              </w:rPr>
            </w:pPr>
            <w:r w:rsidRPr="001A5D5C">
              <w:rPr>
                <w:rFonts w:eastAsia="Times New Roman" w:cstheme="minorHAnsi"/>
                <w:b/>
                <w:bCs/>
              </w:rPr>
              <w:t xml:space="preserve">Name: South Tyneside and Sunderland FT Cardiology Team </w:t>
            </w:r>
          </w:p>
          <w:p w14:paraId="47EE8FBC" w14:textId="77777777" w:rsidR="000A58B9" w:rsidRDefault="000A58B9" w:rsidP="000A58B9">
            <w:pPr>
              <w:spacing w:after="0"/>
              <w:rPr>
                <w:rFonts w:eastAsia="Times New Roman" w:cstheme="minorHAnsi"/>
              </w:rPr>
            </w:pPr>
            <w:r w:rsidRPr="00E1766A">
              <w:rPr>
                <w:rFonts w:eastAsia="Times New Roman" w:cstheme="minorHAnsi"/>
              </w:rPr>
              <w:t>Telephone number: Consultant’s secretary via switch or if urgent on-call cardiologist via switch</w:t>
            </w:r>
          </w:p>
          <w:p w14:paraId="260CEA14" w14:textId="77777777" w:rsidR="000A58B9" w:rsidRDefault="000A58B9" w:rsidP="000A58B9">
            <w:pPr>
              <w:spacing w:after="0"/>
              <w:rPr>
                <w:rFonts w:eastAsia="Times New Roman" w:cstheme="minorHAnsi"/>
              </w:rPr>
            </w:pPr>
            <w:r w:rsidRPr="00E1766A">
              <w:rPr>
                <w:rFonts w:eastAsia="Times New Roman" w:cstheme="minorHAnsi"/>
              </w:rPr>
              <w:t>South Tyneside District Hospital</w:t>
            </w:r>
            <w:r>
              <w:rPr>
                <w:rFonts w:eastAsia="Times New Roman" w:cstheme="minorHAnsi"/>
              </w:rPr>
              <w:t xml:space="preserve">: </w:t>
            </w:r>
            <w:r w:rsidRPr="00E1766A">
              <w:rPr>
                <w:rFonts w:eastAsia="Times New Roman" w:cstheme="minorHAnsi"/>
              </w:rPr>
              <w:t>Tel: 0191 404 1000 (Main Switchboard)</w:t>
            </w:r>
          </w:p>
          <w:p w14:paraId="587CBF61" w14:textId="77777777" w:rsidR="000A58B9" w:rsidRDefault="000A58B9" w:rsidP="000A58B9">
            <w:pPr>
              <w:spacing w:after="0"/>
              <w:rPr>
                <w:rFonts w:eastAsia="Times New Roman" w:cstheme="minorHAnsi"/>
              </w:rPr>
            </w:pPr>
            <w:r w:rsidRPr="00E1766A">
              <w:rPr>
                <w:rFonts w:eastAsia="Times New Roman" w:cstheme="minorHAnsi"/>
              </w:rPr>
              <w:t>Sunderland Royal Hospital</w:t>
            </w:r>
            <w:r>
              <w:rPr>
                <w:rFonts w:eastAsia="Times New Roman" w:cstheme="minorHAnsi"/>
              </w:rPr>
              <w:t xml:space="preserve">: </w:t>
            </w:r>
            <w:r w:rsidRPr="00E1766A">
              <w:rPr>
                <w:rFonts w:eastAsia="Times New Roman" w:cstheme="minorHAnsi"/>
              </w:rPr>
              <w:t>Main switchboard: 0191 565 6256</w:t>
            </w:r>
          </w:p>
          <w:p w14:paraId="44C6DC55" w14:textId="77777777" w:rsidR="000A58B9" w:rsidRDefault="000A58B9" w:rsidP="000A58B9">
            <w:pPr>
              <w:spacing w:after="0"/>
              <w:rPr>
                <w:rFonts w:eastAsia="Times New Roman" w:cstheme="minorHAnsi"/>
              </w:rPr>
            </w:pPr>
          </w:p>
          <w:p w14:paraId="1BFF7888" w14:textId="77777777" w:rsidR="000A58B9" w:rsidRPr="000C78FF" w:rsidRDefault="000A58B9" w:rsidP="000A58B9">
            <w:pPr>
              <w:spacing w:after="0"/>
              <w:rPr>
                <w:rFonts w:eastAsia="Times New Roman" w:cstheme="minorHAnsi"/>
                <w:i/>
              </w:rPr>
            </w:pPr>
            <w:r w:rsidRPr="000C78FF">
              <w:rPr>
                <w:rFonts w:eastAsia="Times New Roman" w:cstheme="minorHAnsi"/>
              </w:rPr>
              <w:t xml:space="preserve">Name: </w:t>
            </w:r>
            <w:r w:rsidRPr="000C78FF">
              <w:rPr>
                <w:rFonts w:eastAsia="Times New Roman" w:cstheme="minorHAnsi"/>
                <w:b/>
                <w:bCs/>
                <w:iCs/>
              </w:rPr>
              <w:t>Newcastle upon Tyne FT Cardiology team</w:t>
            </w:r>
          </w:p>
          <w:p w14:paraId="32BFB01B" w14:textId="77777777" w:rsidR="000A58B9" w:rsidRPr="000C78FF" w:rsidRDefault="000A58B9" w:rsidP="000A58B9">
            <w:pPr>
              <w:spacing w:after="0"/>
              <w:rPr>
                <w:rFonts w:cstheme="minorHAnsi"/>
              </w:rPr>
            </w:pPr>
            <w:r w:rsidRPr="000C78FF">
              <w:rPr>
                <w:rFonts w:eastAsia="Times New Roman" w:cstheme="minorHAnsi"/>
              </w:rPr>
              <w:t>Telephone number: C</w:t>
            </w:r>
            <w:r w:rsidRPr="000C78FF">
              <w:rPr>
                <w:rFonts w:cstheme="minorHAnsi"/>
              </w:rPr>
              <w:t>onsultant’s secretary via switch or if urgent on-call cardiologist via switch – 0191 2336161</w:t>
            </w:r>
          </w:p>
          <w:p w14:paraId="7ED3C635" w14:textId="77777777" w:rsidR="000A58B9" w:rsidRPr="000C78FF" w:rsidRDefault="000A58B9" w:rsidP="000A58B9">
            <w:pPr>
              <w:spacing w:after="0"/>
              <w:rPr>
                <w:rFonts w:cstheme="minorHAnsi"/>
              </w:rPr>
            </w:pPr>
          </w:p>
          <w:p w14:paraId="1D67ED9F" w14:textId="77777777" w:rsidR="000A58B9" w:rsidRDefault="000A58B9" w:rsidP="000A58B9">
            <w:pPr>
              <w:spacing w:after="0"/>
              <w:rPr>
                <w:rFonts w:eastAsia="Calibri" w:cstheme="minorHAnsi"/>
                <w:b/>
                <w:bCs/>
                <w:lang w:eastAsia="en-GB"/>
              </w:rPr>
            </w:pPr>
            <w:r w:rsidRPr="000C78FF">
              <w:rPr>
                <w:rFonts w:eastAsia="Calibri" w:cstheme="minorHAnsi"/>
                <w:lang w:eastAsia="en-GB"/>
              </w:rPr>
              <w:t xml:space="preserve">Name: </w:t>
            </w:r>
            <w:r w:rsidRPr="000C78FF">
              <w:rPr>
                <w:rFonts w:eastAsia="Calibri" w:cstheme="minorHAnsi"/>
                <w:b/>
                <w:bCs/>
                <w:lang w:eastAsia="en-GB"/>
              </w:rPr>
              <w:t xml:space="preserve">North Tees and Hartlepool FT Cardiology team </w:t>
            </w:r>
          </w:p>
          <w:p w14:paraId="3713A4BC" w14:textId="77777777" w:rsidR="000A58B9" w:rsidRPr="000C78FF" w:rsidRDefault="000A58B9" w:rsidP="000A58B9">
            <w:pPr>
              <w:spacing w:after="0"/>
              <w:rPr>
                <w:rFonts w:eastAsia="Calibri" w:cstheme="minorHAnsi"/>
                <w:lang w:eastAsia="en-GB"/>
              </w:rPr>
            </w:pPr>
            <w:r w:rsidRPr="000C78FF">
              <w:rPr>
                <w:rFonts w:eastAsia="Calibri" w:cstheme="minorHAnsi"/>
                <w:lang w:eastAsia="en-GB"/>
              </w:rPr>
              <w:t xml:space="preserve">Email: </w:t>
            </w:r>
            <w:hyperlink r:id="rId29" w:history="1">
              <w:r w:rsidRPr="000C78FF">
                <w:rPr>
                  <w:rFonts w:eastAsia="Calibri" w:cstheme="minorHAnsi"/>
                  <w:color w:val="0563C1"/>
                  <w:u w:val="single"/>
                  <w:lang w:eastAsia="en-GB"/>
                </w:rPr>
                <w:t>nth-tr.cardiology@nhs.net</w:t>
              </w:r>
            </w:hyperlink>
            <w:r w:rsidRPr="000C78FF">
              <w:rPr>
                <w:rFonts w:eastAsia="Calibri" w:cstheme="minorHAnsi"/>
                <w:lang w:eastAsia="en-GB"/>
              </w:rPr>
              <w:t xml:space="preserve"> </w:t>
            </w:r>
          </w:p>
          <w:p w14:paraId="07A38E14" w14:textId="77777777" w:rsidR="000A58B9" w:rsidRPr="000C78FF" w:rsidRDefault="000A58B9" w:rsidP="000A58B9">
            <w:pPr>
              <w:spacing w:after="0"/>
              <w:rPr>
                <w:rFonts w:eastAsia="Calibri" w:cstheme="minorHAnsi"/>
                <w:lang w:eastAsia="en-GB"/>
              </w:rPr>
            </w:pPr>
            <w:r w:rsidRPr="000C78FF">
              <w:rPr>
                <w:rFonts w:eastAsia="Calibri" w:cstheme="minorHAnsi"/>
                <w:lang w:eastAsia="en-GB"/>
              </w:rPr>
              <w:t>Telephone number: Consultant’s secretary via switch – 01642 617617</w:t>
            </w:r>
          </w:p>
          <w:p w14:paraId="288E3736" w14:textId="77777777" w:rsidR="000A58B9" w:rsidRPr="000C78FF" w:rsidRDefault="000A58B9" w:rsidP="000A58B9">
            <w:pPr>
              <w:spacing w:after="0"/>
              <w:rPr>
                <w:rFonts w:eastAsia="Calibri" w:cstheme="minorHAnsi"/>
                <w:lang w:eastAsia="en-GB"/>
              </w:rPr>
            </w:pPr>
          </w:p>
          <w:p w14:paraId="72E8D0F4" w14:textId="77777777" w:rsidR="000A58B9" w:rsidRPr="000C78FF" w:rsidRDefault="000A58B9" w:rsidP="000A58B9">
            <w:pPr>
              <w:spacing w:after="0"/>
              <w:rPr>
                <w:rFonts w:eastAsia="Times New Roman" w:cstheme="minorHAnsi"/>
                <w:i/>
              </w:rPr>
            </w:pPr>
            <w:r w:rsidRPr="000C78FF">
              <w:rPr>
                <w:rFonts w:eastAsia="Times New Roman" w:cstheme="minorHAnsi"/>
              </w:rPr>
              <w:t xml:space="preserve">Name: </w:t>
            </w:r>
            <w:r w:rsidRPr="000C78FF">
              <w:rPr>
                <w:rFonts w:eastAsia="Times New Roman" w:cstheme="minorHAnsi"/>
                <w:b/>
                <w:bCs/>
                <w:iCs/>
              </w:rPr>
              <w:t>Northumbria HC FT Cardiology team</w:t>
            </w:r>
          </w:p>
          <w:p w14:paraId="63F90746" w14:textId="2E62BF54" w:rsidR="000A58B9" w:rsidRPr="00D0776C" w:rsidRDefault="000A58B9" w:rsidP="00D0776C">
            <w:pPr>
              <w:rPr>
                <w:rFonts w:cstheme="minorHAnsi"/>
              </w:rPr>
            </w:pPr>
            <w:r w:rsidRPr="000C78FF">
              <w:rPr>
                <w:rFonts w:eastAsia="Times New Roman" w:cstheme="minorHAnsi"/>
              </w:rPr>
              <w:t>Telephone number: C</w:t>
            </w:r>
            <w:r w:rsidRPr="000C78FF">
              <w:rPr>
                <w:rFonts w:cstheme="minorHAnsi"/>
              </w:rPr>
              <w:t xml:space="preserve">onsultant’s secretary via switch or if urgent on-call cardiologist via switch – 0344 8118111 </w:t>
            </w:r>
          </w:p>
        </w:tc>
      </w:tr>
      <w:tr w:rsidR="000A58B9" w:rsidRPr="00F321FC" w14:paraId="207E7612" w14:textId="77777777" w:rsidTr="00D355FA">
        <w:tc>
          <w:tcPr>
            <w:tcW w:w="2029" w:type="dxa"/>
          </w:tcPr>
          <w:p w14:paraId="1F87C246" w14:textId="316BF7A3" w:rsidR="000A58B9" w:rsidRPr="00F321FC" w:rsidRDefault="000A58B9" w:rsidP="000A58B9">
            <w:pPr>
              <w:pStyle w:val="Heading2"/>
              <w:rPr>
                <w:rFonts w:cs="Arial"/>
              </w:rPr>
            </w:pPr>
            <w:bookmarkStart w:id="26" w:name="fourteen_additional_info"/>
            <w:bookmarkStart w:id="27" w:name="_Toc149231798"/>
            <w:r w:rsidRPr="00F321FC">
              <w:rPr>
                <w:rFonts w:cs="Arial"/>
              </w:rPr>
              <w:lastRenderedPageBreak/>
              <w:t>Additional information</w:t>
            </w:r>
            <w:bookmarkEnd w:id="26"/>
            <w:bookmarkEnd w:id="27"/>
          </w:p>
        </w:tc>
        <w:tc>
          <w:tcPr>
            <w:tcW w:w="8461" w:type="dxa"/>
          </w:tcPr>
          <w:p w14:paraId="0099E20F" w14:textId="77777777" w:rsidR="000A58B9" w:rsidRDefault="000A58B9" w:rsidP="000A58B9">
            <w:pPr>
              <w:rPr>
                <w:rFonts w:cs="Arial"/>
              </w:rPr>
            </w:pPr>
            <w:r w:rsidRPr="005D79FA">
              <w:rPr>
                <w:rFonts w:cs="Arial"/>
              </w:rPr>
              <w:t>Where patient care is transferred from one specialist service or GP practice to another, a new shared care agreement must be completed. Ensure that the specialist is informed in writing of any changes to the patient’s GP or their contact details.</w:t>
            </w:r>
          </w:p>
          <w:p w14:paraId="3634BE8A" w14:textId="5C1F986C" w:rsidR="004F04D7" w:rsidRPr="00F321FC" w:rsidRDefault="004F04D7" w:rsidP="000A58B9">
            <w:pPr>
              <w:rPr>
                <w:rFonts w:cs="Arial"/>
              </w:rPr>
            </w:pPr>
            <w:r w:rsidRPr="004F04D7">
              <w:rPr>
                <w:rFonts w:cs="Arial"/>
              </w:rPr>
              <w:t xml:space="preserve">Please ensure </w:t>
            </w:r>
            <w:r>
              <w:rPr>
                <w:rFonts w:cs="Arial"/>
              </w:rPr>
              <w:t>amiodarone</w:t>
            </w:r>
            <w:r w:rsidRPr="004F04D7">
              <w:rPr>
                <w:rFonts w:cs="Arial"/>
              </w:rPr>
              <w:t xml:space="preserve"> is added to the GP practice medical record in order to prevent missed drug interactions, side effects or omissions on admission to secondary care services. Advise the patient to opt to make their “Summary Care Record” available for sharing with other healthcare providers.</w:t>
            </w:r>
          </w:p>
        </w:tc>
      </w:tr>
      <w:tr w:rsidR="000A58B9" w:rsidRPr="00F321FC" w14:paraId="6B6F9FF7" w14:textId="77777777" w:rsidTr="00D355FA">
        <w:tc>
          <w:tcPr>
            <w:tcW w:w="2029" w:type="dxa"/>
          </w:tcPr>
          <w:p w14:paraId="4580613D" w14:textId="3D2EB4DF" w:rsidR="000A58B9" w:rsidRPr="00F321FC" w:rsidRDefault="000A58B9" w:rsidP="000A58B9">
            <w:pPr>
              <w:pStyle w:val="Heading2"/>
              <w:rPr>
                <w:rFonts w:cs="Arial"/>
              </w:rPr>
            </w:pPr>
            <w:bookmarkStart w:id="28" w:name="fifteen_references"/>
            <w:bookmarkStart w:id="29" w:name="_Toc149231799"/>
            <w:r w:rsidRPr="00F321FC">
              <w:rPr>
                <w:rFonts w:cs="Arial"/>
              </w:rPr>
              <w:t>References</w:t>
            </w:r>
            <w:bookmarkEnd w:id="28"/>
            <w:bookmarkEnd w:id="29"/>
          </w:p>
        </w:tc>
        <w:tc>
          <w:tcPr>
            <w:tcW w:w="8461" w:type="dxa"/>
          </w:tcPr>
          <w:p w14:paraId="7E2A4FCC" w14:textId="77777777" w:rsidR="005A3AFA" w:rsidRDefault="005A3AFA" w:rsidP="005A3AFA">
            <w:pPr>
              <w:pStyle w:val="ListParagraph"/>
              <w:numPr>
                <w:ilvl w:val="0"/>
                <w:numId w:val="45"/>
              </w:numPr>
              <w:rPr>
                <w:rFonts w:eastAsiaTheme="minorEastAsia" w:cs="Arial"/>
                <w:szCs w:val="24"/>
                <w:lang w:eastAsia="en-GB"/>
              </w:rPr>
            </w:pPr>
            <w:r>
              <w:rPr>
                <w:rFonts w:eastAsia="Times New Roman" w:cs="Arial"/>
                <w:lang w:eastAsia="en-GB"/>
              </w:rPr>
              <w:t xml:space="preserve">British National Formulary. Accessed via  </w:t>
            </w:r>
            <w:hyperlink r:id="rId30" w:history="1">
              <w:r>
                <w:rPr>
                  <w:rStyle w:val="Hyperlink"/>
                  <w:rFonts w:cs="Arial"/>
                </w:rPr>
                <w:t>https://bnf.nice.org.uk/</w:t>
              </w:r>
            </w:hyperlink>
            <w:r>
              <w:rPr>
                <w:rFonts w:eastAsia="Times New Roman" w:cs="Arial"/>
                <w:lang w:eastAsia="en-GB"/>
              </w:rPr>
              <w:t xml:space="preserve"> on 04/09/2025.</w:t>
            </w:r>
          </w:p>
          <w:p w14:paraId="38443D12" w14:textId="77777777" w:rsidR="005A3AFA" w:rsidRDefault="005A3AFA" w:rsidP="005A3AFA">
            <w:pPr>
              <w:pStyle w:val="ListParagraph"/>
              <w:numPr>
                <w:ilvl w:val="0"/>
                <w:numId w:val="45"/>
              </w:numPr>
              <w:rPr>
                <w:rFonts w:eastAsiaTheme="minorEastAsia" w:cs="Arial"/>
                <w:szCs w:val="24"/>
                <w:lang w:eastAsia="en-GB"/>
              </w:rPr>
            </w:pPr>
            <w:r>
              <w:rPr>
                <w:rFonts w:eastAsiaTheme="minorEastAsia" w:cs="Arial"/>
                <w:szCs w:val="24"/>
                <w:lang w:val="de-DE" w:eastAsia="en-GB"/>
              </w:rPr>
              <w:t xml:space="preserve">Amiodarone hydrochloride 200 mg tablets. Ennogen Pharma Ltd. </w:t>
            </w:r>
            <w:r>
              <w:rPr>
                <w:rFonts w:eastAsiaTheme="minorEastAsia" w:cs="Arial"/>
                <w:szCs w:val="24"/>
                <w:lang w:eastAsia="en-GB"/>
              </w:rPr>
              <w:t xml:space="preserve">Date of revision of the text: 01/07/25. Accessed via </w:t>
            </w:r>
            <w:hyperlink r:id="rId31" w:history="1">
              <w:r>
                <w:rPr>
                  <w:rStyle w:val="Hyperlink"/>
                  <w:rFonts w:eastAsiaTheme="minorEastAsia" w:cs="Arial"/>
                  <w:szCs w:val="24"/>
                  <w:lang w:eastAsia="en-GB"/>
                </w:rPr>
                <w:t>https://www.medicines.org.uk/emc/product/101141/smpc</w:t>
              </w:r>
            </w:hyperlink>
            <w:r>
              <w:rPr>
                <w:rFonts w:eastAsiaTheme="minorEastAsia" w:cs="Arial"/>
                <w:szCs w:val="24"/>
                <w:lang w:eastAsia="en-GB"/>
              </w:rPr>
              <w:t xml:space="preserve"> on 04/09/25.</w:t>
            </w:r>
          </w:p>
          <w:p w14:paraId="2CE7AE09" w14:textId="77777777" w:rsidR="005A3AFA" w:rsidRDefault="005A3AFA" w:rsidP="005A3AFA">
            <w:pPr>
              <w:pStyle w:val="ListParagraph"/>
              <w:numPr>
                <w:ilvl w:val="0"/>
                <w:numId w:val="45"/>
              </w:numPr>
              <w:rPr>
                <w:rFonts w:eastAsiaTheme="minorEastAsia" w:cs="Arial"/>
                <w:szCs w:val="24"/>
                <w:lang w:eastAsia="en-GB"/>
              </w:rPr>
            </w:pPr>
            <w:r>
              <w:rPr>
                <w:rFonts w:eastAsia="Times New Roman" w:cs="Arial"/>
                <w:lang w:eastAsia="en-GB"/>
              </w:rPr>
              <w:lastRenderedPageBreak/>
              <w:t xml:space="preserve">Amiodarone hydrochloride 100 mg tablets. Accord Healthcare Ltd. Date of revision of the text: 27/01/22. Accessed via  </w:t>
            </w:r>
            <w:hyperlink r:id="rId32" w:history="1">
              <w:r>
                <w:rPr>
                  <w:rStyle w:val="Hyperlink"/>
                  <w:rFonts w:cs="Arial"/>
                </w:rPr>
                <w:t>https://products.mhra.gov.uk/</w:t>
              </w:r>
            </w:hyperlink>
            <w:r>
              <w:rPr>
                <w:rFonts w:cs="Arial"/>
              </w:rPr>
              <w:t xml:space="preserve"> </w:t>
            </w:r>
            <w:r>
              <w:rPr>
                <w:rFonts w:eastAsia="Times New Roman" w:cs="Arial"/>
                <w:lang w:eastAsia="en-GB"/>
              </w:rPr>
              <w:t>on 18/10/23.</w:t>
            </w:r>
          </w:p>
          <w:p w14:paraId="4F0C6895" w14:textId="77777777" w:rsidR="005A3AFA" w:rsidRDefault="005A3AFA" w:rsidP="005A3AFA">
            <w:pPr>
              <w:pStyle w:val="ListParagraph"/>
              <w:numPr>
                <w:ilvl w:val="0"/>
                <w:numId w:val="45"/>
              </w:numPr>
              <w:rPr>
                <w:rFonts w:eastAsiaTheme="minorEastAsia" w:cs="Arial"/>
                <w:szCs w:val="24"/>
                <w:lang w:eastAsia="en-GB"/>
              </w:rPr>
            </w:pPr>
            <w:r>
              <w:rPr>
                <w:rFonts w:eastAsia="Times New Roman" w:cs="Arial"/>
                <w:lang w:eastAsia="en-GB"/>
              </w:rPr>
              <w:t xml:space="preserve">Amiodarone hydrochloride 200 mg tablets. Accord Healthcare Ltd. Date of revision of the text: 27/01/22. Accessed via </w:t>
            </w:r>
            <w:hyperlink r:id="rId33" w:history="1">
              <w:r>
                <w:rPr>
                  <w:rStyle w:val="Hyperlink"/>
                  <w:rFonts w:cs="Arial"/>
                </w:rPr>
                <w:t>https://products.mhra.gov.uk/</w:t>
              </w:r>
            </w:hyperlink>
            <w:r>
              <w:rPr>
                <w:rFonts w:eastAsia="Times New Roman" w:cs="Arial"/>
                <w:lang w:eastAsia="en-GB"/>
              </w:rPr>
              <w:t xml:space="preserve"> on 18/10/23.</w:t>
            </w:r>
          </w:p>
          <w:p w14:paraId="2A1509C0" w14:textId="77777777" w:rsidR="005A3AFA" w:rsidRDefault="005A3AFA" w:rsidP="005A3AFA">
            <w:pPr>
              <w:pStyle w:val="ListParagraph"/>
              <w:numPr>
                <w:ilvl w:val="0"/>
                <w:numId w:val="45"/>
              </w:numPr>
              <w:rPr>
                <w:rFonts w:eastAsiaTheme="minorEastAsia" w:cs="Arial"/>
                <w:szCs w:val="24"/>
                <w:lang w:eastAsia="en-GB"/>
              </w:rPr>
            </w:pPr>
            <w:r>
              <w:rPr>
                <w:rFonts w:eastAsia="Times New Roman" w:cs="Arial"/>
                <w:lang w:eastAsia="en-GB"/>
              </w:rPr>
              <w:t xml:space="preserve">Amiodarone hydrochloride 200mg tablets (Amiodarone Milpharm). Aurobindo Pharma- Milpharm Ltd. Date of revision of the text 14/08/2020. Accessed via </w:t>
            </w:r>
            <w:hyperlink r:id="rId34" w:history="1">
              <w:r>
                <w:rPr>
                  <w:rStyle w:val="Hyperlink"/>
                  <w:rFonts w:cs="Arial"/>
                </w:rPr>
                <w:t>https://www.medicines.org.uk/emc/</w:t>
              </w:r>
            </w:hyperlink>
            <w:r>
              <w:rPr>
                <w:rFonts w:eastAsia="Times New Roman" w:cs="Arial"/>
                <w:lang w:eastAsia="en-GB"/>
              </w:rPr>
              <w:t xml:space="preserve"> on 15/01/2021.</w:t>
            </w:r>
          </w:p>
          <w:p w14:paraId="0423DAA1" w14:textId="77777777" w:rsidR="005A3AFA" w:rsidRDefault="005A3AFA" w:rsidP="005A3AFA">
            <w:pPr>
              <w:pStyle w:val="ListParagraph"/>
              <w:numPr>
                <w:ilvl w:val="0"/>
                <w:numId w:val="45"/>
              </w:numPr>
              <w:rPr>
                <w:rFonts w:eastAsiaTheme="minorEastAsia" w:cs="Arial"/>
                <w:szCs w:val="24"/>
                <w:lang w:eastAsia="en-GB"/>
              </w:rPr>
            </w:pPr>
            <w:r>
              <w:rPr>
                <w:rFonts w:eastAsia="Times New Roman" w:cs="Arial"/>
                <w:lang w:eastAsia="en-GB"/>
              </w:rPr>
              <w:t xml:space="preserve">NHS England. Items which should not routinely be prescribed in primary care: policy guidance. August 2023. Last updated August 2025. Accessed via </w:t>
            </w:r>
            <w:hyperlink r:id="rId35" w:history="1">
              <w:r>
                <w:rPr>
                  <w:rStyle w:val="Hyperlink"/>
                  <w:rFonts w:eastAsia="Times New Roman" w:cs="Arial"/>
                  <w:lang w:eastAsia="en-GB"/>
                </w:rPr>
                <w:t>https://www.england.nhs.uk/long-read/items-which-should-not-routinely-be-prescribed-in-primary-care-policy-guidance/</w:t>
              </w:r>
            </w:hyperlink>
            <w:r>
              <w:rPr>
                <w:rFonts w:eastAsia="Times New Roman" w:cs="Arial"/>
                <w:lang w:eastAsia="en-GB"/>
              </w:rPr>
              <w:t xml:space="preserve"> on 04/09/25. </w:t>
            </w:r>
          </w:p>
          <w:p w14:paraId="6E86F7BA" w14:textId="77777777" w:rsidR="005A3AFA" w:rsidRDefault="005A3AFA" w:rsidP="005A3AFA">
            <w:pPr>
              <w:pStyle w:val="ListParagraph"/>
              <w:numPr>
                <w:ilvl w:val="0"/>
                <w:numId w:val="45"/>
              </w:numPr>
              <w:rPr>
                <w:rFonts w:eastAsia="Times New Roman" w:cs="Arial"/>
                <w:lang w:eastAsia="en-GB"/>
              </w:rPr>
            </w:pPr>
            <w:r>
              <w:rPr>
                <w:rFonts w:eastAsia="Times New Roman" w:cs="Arial"/>
                <w:lang w:eastAsia="en-GB"/>
              </w:rPr>
              <w:t xml:space="preserve">NICE. NG196: Atrial fibrillation: diagnosis and management. Last updated June 2021. Accessed via </w:t>
            </w:r>
            <w:hyperlink r:id="rId36" w:history="1">
              <w:r>
                <w:rPr>
                  <w:rStyle w:val="Hyperlink"/>
                  <w:rFonts w:eastAsia="Times New Roman" w:cs="Arial"/>
                  <w:lang w:eastAsia="en-GB"/>
                </w:rPr>
                <w:t>https://www.nice.org.uk/guidance/ng196</w:t>
              </w:r>
            </w:hyperlink>
            <w:r>
              <w:rPr>
                <w:rFonts w:eastAsia="Times New Roman" w:cs="Arial"/>
                <w:lang w:eastAsia="en-GB"/>
              </w:rPr>
              <w:t xml:space="preserve"> on 28/04/21.</w:t>
            </w:r>
          </w:p>
          <w:p w14:paraId="4ADA7EF9" w14:textId="77777777" w:rsidR="005A3AFA" w:rsidRDefault="005A3AFA" w:rsidP="005A3AFA">
            <w:pPr>
              <w:pStyle w:val="ListParagraph"/>
              <w:numPr>
                <w:ilvl w:val="0"/>
                <w:numId w:val="45"/>
              </w:numPr>
              <w:rPr>
                <w:rFonts w:eastAsiaTheme="minorEastAsia" w:cs="Arial"/>
                <w:szCs w:val="24"/>
                <w:lang w:eastAsia="en-GB"/>
              </w:rPr>
            </w:pPr>
            <w:proofErr w:type="gramStart"/>
            <w:r>
              <w:rPr>
                <w:rFonts w:eastAsia="Times New Roman" w:cs="Arial"/>
                <w:lang w:eastAsia="en-GB"/>
              </w:rPr>
              <w:t>Amiodarone  Drugs</w:t>
            </w:r>
            <w:proofErr w:type="gramEnd"/>
            <w:r>
              <w:rPr>
                <w:rFonts w:eastAsia="Times New Roman" w:cs="Arial"/>
                <w:lang w:eastAsia="en-GB"/>
              </w:rPr>
              <w:t xml:space="preserve"> and Lactation database (LactMed®). Last updated 15.05.24; accessed via: </w:t>
            </w:r>
            <w:r>
              <w:t>https://www.ncbi.nlm.nih.gov/books/NBK500560/</w:t>
            </w:r>
            <w:r>
              <w:rPr>
                <w:rFonts w:eastAsia="Times New Roman" w:cs="Arial"/>
                <w:lang w:eastAsia="en-GB"/>
              </w:rPr>
              <w:t>on 18.11.25.</w:t>
            </w:r>
          </w:p>
          <w:p w14:paraId="3B45FF95" w14:textId="77777777" w:rsidR="005A3AFA" w:rsidRDefault="005A3AFA" w:rsidP="005A3AFA">
            <w:pPr>
              <w:pStyle w:val="ListParagraph"/>
              <w:numPr>
                <w:ilvl w:val="0"/>
                <w:numId w:val="45"/>
              </w:numPr>
              <w:rPr>
                <w:rFonts w:eastAsia="Times New Roman" w:cs="Arial"/>
                <w:lang w:eastAsia="en-GB"/>
              </w:rPr>
            </w:pPr>
            <w:r>
              <w:rPr>
                <w:rFonts w:eastAsia="Times New Roman" w:cs="Arial"/>
                <w:lang w:eastAsia="en-GB"/>
              </w:rPr>
              <w:t xml:space="preserve">Specialist Pharmacy Service – Medicines Monitoring. Published July 2021, last updated 04/02/25. Accessed via </w:t>
            </w:r>
            <w:hyperlink r:id="rId37" w:history="1">
              <w:r>
                <w:rPr>
                  <w:rStyle w:val="Hyperlink"/>
                  <w:rFonts w:cs="Arial"/>
                </w:rPr>
                <w:t>https://www.sps.nhs.uk/monitorings/amiodarone-monitoring/</w:t>
              </w:r>
            </w:hyperlink>
            <w:r>
              <w:rPr>
                <w:rFonts w:cs="Arial"/>
              </w:rPr>
              <w:t xml:space="preserve"> on 04/09/25</w:t>
            </w:r>
            <w:r>
              <w:rPr>
                <w:rFonts w:eastAsia="Times New Roman" w:cs="Arial"/>
                <w:lang w:eastAsia="en-GB"/>
              </w:rPr>
              <w:t xml:space="preserve"> </w:t>
            </w:r>
          </w:p>
          <w:p w14:paraId="076ACAE7" w14:textId="77777777" w:rsidR="005A3AFA" w:rsidRDefault="005A3AFA" w:rsidP="005A3AFA">
            <w:pPr>
              <w:pStyle w:val="ListParagraph"/>
              <w:numPr>
                <w:ilvl w:val="0"/>
                <w:numId w:val="45"/>
              </w:numPr>
              <w:rPr>
                <w:rFonts w:cs="Arial"/>
              </w:rPr>
            </w:pPr>
            <w:r>
              <w:rPr>
                <w:rFonts w:eastAsia="Times New Roman" w:cs="Arial"/>
                <w:lang w:eastAsia="en-GB"/>
              </w:rPr>
              <w:t xml:space="preserve">LiverTox. Amiodarone. Last updated 01/03/2016. Accessed via </w:t>
            </w:r>
            <w:hyperlink r:id="rId38" w:history="1">
              <w:r>
                <w:rPr>
                  <w:rStyle w:val="Hyperlink"/>
                  <w:rFonts w:eastAsia="Times New Roman" w:cs="Arial"/>
                  <w:lang w:eastAsia="en-GB"/>
                </w:rPr>
                <w:t>https://www.ncbi.nlm.nih.gov/books/NBK548109/</w:t>
              </w:r>
            </w:hyperlink>
            <w:r>
              <w:rPr>
                <w:rFonts w:eastAsia="Times New Roman" w:cs="Arial"/>
                <w:lang w:eastAsia="en-GB"/>
              </w:rPr>
              <w:t xml:space="preserve"> 18/10/23.</w:t>
            </w:r>
          </w:p>
          <w:p w14:paraId="26F6B63E" w14:textId="77777777" w:rsidR="005A3AFA" w:rsidRDefault="005A3AFA" w:rsidP="005A3AFA">
            <w:pPr>
              <w:pStyle w:val="ListParagraph"/>
              <w:numPr>
                <w:ilvl w:val="0"/>
                <w:numId w:val="45"/>
              </w:numPr>
              <w:rPr>
                <w:rFonts w:cs="Arial"/>
              </w:rPr>
            </w:pPr>
            <w:r>
              <w:rPr>
                <w:rFonts w:eastAsia="Times New Roman" w:cs="Arial"/>
                <w:lang w:eastAsia="en-GB"/>
              </w:rPr>
              <w:t xml:space="preserve">NEWT Guidelines: amiodarone. Last updated February 2019. Accessed via </w:t>
            </w:r>
            <w:hyperlink r:id="rId39" w:history="1">
              <w:r>
                <w:rPr>
                  <w:rStyle w:val="Hyperlink"/>
                  <w:rFonts w:cs="Arial"/>
                </w:rPr>
                <w:t>https://www.newtguidelines.com/</w:t>
              </w:r>
            </w:hyperlink>
            <w:r>
              <w:rPr>
                <w:rFonts w:eastAsia="Times New Roman" w:cs="Arial"/>
                <w:lang w:eastAsia="en-GB"/>
              </w:rPr>
              <w:t xml:space="preserve"> on 04/09/2025</w:t>
            </w:r>
          </w:p>
          <w:p w14:paraId="61BA3672" w14:textId="77777777" w:rsidR="005A3AFA" w:rsidRDefault="005A3AFA" w:rsidP="005A3AFA">
            <w:pPr>
              <w:pStyle w:val="ListParagraph"/>
              <w:numPr>
                <w:ilvl w:val="0"/>
                <w:numId w:val="45"/>
              </w:numPr>
              <w:rPr>
                <w:rFonts w:cs="Arial"/>
              </w:rPr>
            </w:pPr>
            <w:r>
              <w:rPr>
                <w:rFonts w:eastAsia="Times New Roman" w:cs="Arial"/>
                <w:lang w:eastAsia="en-GB"/>
              </w:rPr>
              <w:t xml:space="preserve">MHRA Drug Safety Update: Sofosbuvir with daclatasvir; sofosbuvir and ledipasvir: risks of severe bradycardia and heart block when taken with amiodarone. May 2015. Accessed via </w:t>
            </w:r>
            <w:hyperlink r:id="rId40" w:history="1">
              <w:r>
                <w:rPr>
                  <w:rStyle w:val="Hyperlink"/>
                  <w:rFonts w:eastAsia="Times New Roman" w:cs="Arial"/>
                  <w:lang w:eastAsia="en-GB"/>
                </w:rPr>
                <w:t>https://www.gov.uk/drug-safety-update/sofosbuvir-with-daclatasvir-sofosbuvir-and-ledipasvir-risks-of-severe-bradycardia-and-heart-block-when-taken-with-amiodarone</w:t>
              </w:r>
            </w:hyperlink>
            <w:r>
              <w:rPr>
                <w:rFonts w:eastAsia="Times New Roman" w:cs="Arial"/>
                <w:lang w:eastAsia="en-GB"/>
              </w:rPr>
              <w:t xml:space="preserve"> on 04/09/25 </w:t>
            </w:r>
          </w:p>
          <w:p w14:paraId="3FC7B005" w14:textId="77777777" w:rsidR="005A3AFA" w:rsidRDefault="005A3AFA" w:rsidP="005A3AFA">
            <w:pPr>
              <w:pStyle w:val="ListParagraph"/>
              <w:numPr>
                <w:ilvl w:val="0"/>
                <w:numId w:val="45"/>
              </w:numPr>
              <w:rPr>
                <w:rFonts w:cs="Arial"/>
              </w:rPr>
            </w:pPr>
            <w:r>
              <w:rPr>
                <w:rFonts w:cs="Arial"/>
              </w:rPr>
              <w:t xml:space="preserve">MHRA Drug Safety Update: Simeprevir with sofosbuvir: risk of severe bradycardia and heart block when taken with amiodarone. August 2015. Accessed via </w:t>
            </w:r>
            <w:hyperlink r:id="rId41" w:history="1">
              <w:r>
                <w:rPr>
                  <w:rStyle w:val="Hyperlink"/>
                  <w:rFonts w:cs="Arial"/>
                </w:rPr>
                <w:t>https://www.gov.uk/drug-safety-update/simeprevir-with-sofosbuvir-risk-of-severe-bradycardia-and-heart-block-when-taken-with-amiodarone</w:t>
              </w:r>
            </w:hyperlink>
            <w:r>
              <w:rPr>
                <w:rFonts w:cs="Arial"/>
              </w:rPr>
              <w:t xml:space="preserve"> on 04/09/25 </w:t>
            </w:r>
          </w:p>
          <w:p w14:paraId="6AB88C47" w14:textId="77777777" w:rsidR="005A3AFA" w:rsidRDefault="005A3AFA" w:rsidP="005A3AFA">
            <w:pPr>
              <w:pStyle w:val="ListParagraph"/>
              <w:numPr>
                <w:ilvl w:val="0"/>
                <w:numId w:val="45"/>
              </w:numPr>
              <w:rPr>
                <w:rFonts w:cs="Arial"/>
              </w:rPr>
            </w:pPr>
            <w:r>
              <w:rPr>
                <w:rFonts w:eastAsia="Times New Roman" w:cs="Arial"/>
                <w:lang w:eastAsia="en-GB"/>
              </w:rPr>
              <w:t xml:space="preserve">MHRA Drug Safety Update: Amiodarone (Cordarone X): reminder of risks of treatment and need for patient monitoring and supervision. March 2022. Accessed via </w:t>
            </w:r>
            <w:hyperlink r:id="rId42" w:history="1">
              <w:r>
                <w:rPr>
                  <w:rStyle w:val="Hyperlink"/>
                  <w:rFonts w:eastAsia="Times New Roman" w:cs="Arial"/>
                  <w:lang w:eastAsia="en-GB"/>
                </w:rPr>
                <w:t>https://www.gov.uk/drug-safety-update/amiodarone-cordarone-x-reminder-of-risks-of-treatment-and-need-for-patient-monitoring-and-supervision</w:t>
              </w:r>
            </w:hyperlink>
            <w:r>
              <w:rPr>
                <w:rFonts w:eastAsia="Times New Roman" w:cs="Arial"/>
                <w:lang w:eastAsia="en-GB"/>
              </w:rPr>
              <w:t xml:space="preserve"> on 04/09/25</w:t>
            </w:r>
          </w:p>
          <w:p w14:paraId="75DBDBD4" w14:textId="77777777" w:rsidR="00484CDA" w:rsidRPr="00484CDA" w:rsidRDefault="005A3AFA" w:rsidP="00484CDA">
            <w:pPr>
              <w:pStyle w:val="ListParagraph"/>
              <w:numPr>
                <w:ilvl w:val="0"/>
                <w:numId w:val="45"/>
              </w:numPr>
              <w:rPr>
                <w:rFonts w:cs="Arial"/>
              </w:rPr>
            </w:pPr>
            <w:r>
              <w:rPr>
                <w:rFonts w:cs="Arial"/>
              </w:rPr>
              <w:t xml:space="preserve">UK Guidelines for the Use of Thyroid Function Tests. The Association for Clinical Biochemistry, British Thyroid Association, and British Thyroid Foundation. July 2006. Accessed via </w:t>
            </w:r>
            <w:hyperlink r:id="rId43" w:history="1">
              <w:r>
                <w:rPr>
                  <w:rStyle w:val="Hyperlink"/>
                  <w:rFonts w:cs="Arial"/>
                </w:rPr>
                <w:t>https://baets.org.uk/wp-content/uploads/2024/07/BTA-Guidelines-on-Thyroid-Function-Tests.pdf</w:t>
              </w:r>
            </w:hyperlink>
          </w:p>
          <w:p w14:paraId="6E5223F3" w14:textId="51D51036" w:rsidR="005A3AFA" w:rsidRPr="00484CDA" w:rsidRDefault="005A3AFA" w:rsidP="00F20B6C">
            <w:pPr>
              <w:pStyle w:val="ListParagraph"/>
              <w:numPr>
                <w:ilvl w:val="0"/>
                <w:numId w:val="45"/>
              </w:numPr>
              <w:rPr>
                <w:rFonts w:cs="Arial"/>
              </w:rPr>
            </w:pPr>
            <w:r w:rsidRPr="00484CDA">
              <w:rPr>
                <w:rFonts w:cs="Arial"/>
              </w:rPr>
              <w:t xml:space="preserve">NICE NG145: Thyroid disease: assessment and management. Last updated 26 October 2023. Accessed via </w:t>
            </w:r>
            <w:hyperlink r:id="rId44" w:history="1">
              <w:r w:rsidRPr="00484CDA">
                <w:rPr>
                  <w:rStyle w:val="Hyperlink"/>
                  <w:rFonts w:cs="Arial"/>
                </w:rPr>
                <w:t>https://www.nice.org.uk/guidance/ng145/</w:t>
              </w:r>
            </w:hyperlink>
            <w:r w:rsidRPr="00484CDA">
              <w:rPr>
                <w:rFonts w:cs="Arial"/>
              </w:rPr>
              <w:t xml:space="preserve"> on 04/09/25.</w:t>
            </w:r>
          </w:p>
          <w:p w14:paraId="691F28DD" w14:textId="7B8849A2" w:rsidR="000A58B9" w:rsidRPr="00236EDC" w:rsidRDefault="000A58B9" w:rsidP="00F20B6C"/>
        </w:tc>
      </w:tr>
      <w:tr w:rsidR="000A58B9" w:rsidRPr="00F321FC" w14:paraId="5BFC9044" w14:textId="77777777" w:rsidTr="00D355FA">
        <w:tc>
          <w:tcPr>
            <w:tcW w:w="2029" w:type="dxa"/>
          </w:tcPr>
          <w:p w14:paraId="2578110D" w14:textId="586DDC3D" w:rsidR="000A58B9" w:rsidRPr="00F321FC" w:rsidRDefault="000A58B9" w:rsidP="000A58B9">
            <w:pPr>
              <w:pStyle w:val="Heading2"/>
              <w:rPr>
                <w:rFonts w:cs="Arial"/>
              </w:rPr>
            </w:pPr>
            <w:bookmarkStart w:id="30" w:name="_Toc149231800"/>
            <w:r w:rsidRPr="00F321FC">
              <w:rPr>
                <w:rFonts w:cs="Arial"/>
              </w:rPr>
              <w:lastRenderedPageBreak/>
              <w:t>To be read in conjunction with the following documents</w:t>
            </w:r>
            <w:bookmarkEnd w:id="30"/>
          </w:p>
        </w:tc>
        <w:tc>
          <w:tcPr>
            <w:tcW w:w="8461" w:type="dxa"/>
          </w:tcPr>
          <w:p w14:paraId="1D359FBA" w14:textId="1E982451" w:rsidR="000A58B9" w:rsidRPr="00FB404F" w:rsidRDefault="000A58B9" w:rsidP="000A58B9">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Shared Care for Medicines Guidance – A Standard Approach (RMOC). </w:t>
            </w:r>
            <w:r w:rsidR="005A3AFA">
              <w:rPr>
                <w:rFonts w:eastAsia="Times New Roman" w:cs="Arial"/>
                <w:lang w:eastAsia="en-GB"/>
              </w:rPr>
              <w:t>Available on request.</w:t>
            </w:r>
          </w:p>
          <w:p w14:paraId="2D3D56F2" w14:textId="77777777" w:rsidR="000A58B9" w:rsidRPr="00FB404F" w:rsidRDefault="000A58B9" w:rsidP="000A58B9">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NHSE guidance – </w:t>
            </w:r>
            <w:r w:rsidRPr="00FB404F">
              <w:rPr>
                <w:rFonts w:cs="Arial"/>
              </w:rPr>
              <w:t xml:space="preserve">Responsibility for prescribing between primary &amp; secondary/tertiary care. Available from </w:t>
            </w:r>
            <w:hyperlink r:id="rId45" w:history="1">
              <w:r w:rsidRPr="00FB404F">
                <w:rPr>
                  <w:rStyle w:val="Hyperlink"/>
                  <w:rFonts w:cs="Arial"/>
                </w:rPr>
                <w:t>https://www.england.nhs.uk/publication/responsibility-for-prescribing-between-primary-and-secondary-tertiary-care/</w:t>
              </w:r>
            </w:hyperlink>
            <w:r w:rsidRPr="00FB404F">
              <w:rPr>
                <w:rFonts w:cs="Arial"/>
              </w:rPr>
              <w:t xml:space="preserve"> </w:t>
            </w:r>
          </w:p>
          <w:p w14:paraId="253D5A7B" w14:textId="77777777" w:rsidR="000A58B9" w:rsidRPr="00FB404F" w:rsidRDefault="000A58B9" w:rsidP="000A58B9">
            <w:pPr>
              <w:pStyle w:val="ListParagraph"/>
              <w:numPr>
                <w:ilvl w:val="0"/>
                <w:numId w:val="22"/>
              </w:numPr>
              <w:ind w:left="357" w:hanging="357"/>
              <w:rPr>
                <w:rFonts w:eastAsia="Times New Roman" w:cs="Arial"/>
                <w:lang w:eastAsia="en-GB"/>
              </w:rPr>
            </w:pPr>
            <w:r w:rsidRPr="00FB404F">
              <w:rPr>
                <w:rFonts w:eastAsia="Times New Roman" w:cs="Arial"/>
                <w:lang w:eastAsia="en-GB"/>
              </w:rPr>
              <w:t xml:space="preserve">General Medical Council. Good practice in prescribing and managing medicines and devices. Shared care. Available from </w:t>
            </w:r>
            <w:hyperlink r:id="rId46" w:history="1">
              <w:r w:rsidRPr="00FB404F">
                <w:rPr>
                  <w:rStyle w:val="Hyperlink"/>
                  <w:rFonts w:eastAsia="Times New Roman" w:cs="Arial"/>
                  <w:lang w:eastAsia="en-GB"/>
                </w:rPr>
                <w:t>https://www.gmc-uk.org/ethical-guidance/ethical-guidance-for-doctors/good-practice-in-prescribing-and-managing-medicines-and-devices/shared-care</w:t>
              </w:r>
            </w:hyperlink>
            <w:r w:rsidRPr="00FB404F">
              <w:rPr>
                <w:rFonts w:eastAsia="Times New Roman" w:cs="Arial"/>
                <w:lang w:eastAsia="en-GB"/>
              </w:rPr>
              <w:t xml:space="preserve"> </w:t>
            </w:r>
          </w:p>
          <w:p w14:paraId="0A32DAB2" w14:textId="781DB999" w:rsidR="000A58B9" w:rsidRPr="00FB404F" w:rsidRDefault="000A58B9" w:rsidP="000A58B9">
            <w:pPr>
              <w:pStyle w:val="References"/>
              <w:spacing w:after="60"/>
              <w:rPr>
                <w:rFonts w:cs="Arial"/>
              </w:rPr>
            </w:pPr>
            <w:r w:rsidRPr="00FB404F">
              <w:rPr>
                <w:rFonts w:eastAsia="Times New Roman" w:cs="Arial"/>
                <w:lang w:eastAsia="en-GB"/>
              </w:rPr>
              <w:t xml:space="preserve">NICE NG197: Shared decision making. Last updated June 2021. </w:t>
            </w:r>
            <w:hyperlink r:id="rId47" w:history="1">
              <w:r w:rsidRPr="00FB404F">
                <w:rPr>
                  <w:rStyle w:val="Hyperlink"/>
                  <w:rFonts w:eastAsia="Times New Roman" w:cs="Arial"/>
                  <w:lang w:eastAsia="en-GB"/>
                </w:rPr>
                <w:t>https://www.nice.org.uk/guidance/ng197/</w:t>
              </w:r>
            </w:hyperlink>
            <w:r w:rsidRPr="00FB404F">
              <w:rPr>
                <w:rFonts w:eastAsia="Times New Roman" w:cs="Arial"/>
                <w:lang w:eastAsia="en-GB"/>
              </w:rPr>
              <w:t>.</w:t>
            </w:r>
          </w:p>
        </w:tc>
      </w:tr>
    </w:tbl>
    <w:p w14:paraId="542C2C02" w14:textId="77777777" w:rsidR="00854C79" w:rsidRPr="00C72861" w:rsidRDefault="00854C79" w:rsidP="00C72861"/>
    <w:p w14:paraId="57EA86FB" w14:textId="77777777" w:rsidR="00F16A21" w:rsidRDefault="00F16A21">
      <w:pPr>
        <w:spacing w:before="0" w:after="160"/>
        <w:rPr>
          <w:rFonts w:ascii="Calibri" w:eastAsia="Calibri" w:hAnsi="Calibri" w:cs="Calibri"/>
          <w:b/>
          <w:bCs/>
          <w:sz w:val="24"/>
          <w:szCs w:val="24"/>
        </w:rPr>
      </w:pPr>
      <w:r>
        <w:rPr>
          <w:rFonts w:ascii="Calibri" w:eastAsia="Calibri" w:hAnsi="Calibri" w:cs="Calibri"/>
          <w:b/>
          <w:bCs/>
          <w:sz w:val="24"/>
          <w:szCs w:val="24"/>
        </w:rPr>
        <w:br w:type="page"/>
      </w:r>
    </w:p>
    <w:p w14:paraId="372B084F" w14:textId="3E7CE1AD" w:rsidR="007F3BE3" w:rsidRPr="00C1555F" w:rsidRDefault="007F3BE3" w:rsidP="00781AFA">
      <w:pPr>
        <w:spacing w:before="0" w:after="160"/>
        <w:rPr>
          <w:rFonts w:ascii="Calibri" w:eastAsia="Calibri" w:hAnsi="Calibri" w:cs="Calibri"/>
          <w:b/>
          <w:bCs/>
          <w:sz w:val="24"/>
          <w:szCs w:val="24"/>
        </w:rPr>
      </w:pPr>
      <w:r w:rsidRPr="00C1555F">
        <w:rPr>
          <w:rFonts w:ascii="Calibri" w:eastAsia="Calibri" w:hAnsi="Calibri" w:cs="Calibri"/>
          <w:b/>
          <w:bCs/>
          <w:sz w:val="24"/>
          <w:szCs w:val="24"/>
        </w:rPr>
        <w:lastRenderedPageBreak/>
        <w:t>Appendix 1: Shared Care Request letter (Specialist to Primary Care Prescriber)</w:t>
      </w:r>
    </w:p>
    <w:p w14:paraId="08EA8429" w14:textId="77777777" w:rsidR="007F3BE3" w:rsidRPr="007F3BE3" w:rsidRDefault="007F3BE3" w:rsidP="007F3BE3">
      <w:pPr>
        <w:spacing w:before="0" w:after="0" w:line="276" w:lineRule="auto"/>
        <w:rPr>
          <w:rFonts w:ascii="Calibri" w:eastAsia="Times New Roman" w:hAnsi="Calibri" w:cs="Calibri"/>
        </w:rPr>
      </w:pPr>
      <w:r w:rsidRPr="007F3BE3">
        <w:rPr>
          <w:rFonts w:ascii="Calibri" w:eastAsia="Times New Roman" w:hAnsi="Calibri" w:cs="Calibri"/>
        </w:rPr>
        <w:t xml:space="preserve">Dear </w:t>
      </w:r>
      <w:r w:rsidRPr="007F3BE3">
        <w:rPr>
          <w:rFonts w:ascii="Calibri" w:eastAsia="Times New Roman" w:hAnsi="Calibri" w:cs="Calibri"/>
        </w:rPr>
        <w:tab/>
      </w:r>
      <w:r w:rsidRPr="007F3BE3">
        <w:rPr>
          <w:rFonts w:ascii="Calibri" w:eastAsia="Times New Roman" w:hAnsi="Calibri" w:cs="Calibri"/>
        </w:rPr>
        <w:tab/>
      </w:r>
      <w:sdt>
        <w:sdtPr>
          <w:rPr>
            <w:rFonts w:ascii="Calibri" w:eastAsia="Times New Roman" w:hAnsi="Calibri" w:cs="Calibri"/>
          </w:rPr>
          <w:id w:val="-1775391465"/>
          <w:placeholder>
            <w:docPart w:val="96A41C8F59FB473F8779F883F8A7C381"/>
          </w:placeholder>
        </w:sdtPr>
        <w:sdtEndPr>
          <w:rPr>
            <w:i/>
          </w:rPr>
        </w:sdtEndPr>
        <w:sdtContent>
          <w:r w:rsidRPr="007F3BE3">
            <w:rPr>
              <w:rFonts w:ascii="Calibri" w:eastAsia="Times New Roman" w:hAnsi="Calibri" w:cs="Calibri"/>
              <w:i/>
            </w:rPr>
            <w:fldChar w:fldCharType="begin">
              <w:ffData>
                <w:name w:val="Text57"/>
                <w:enabled/>
                <w:calcOnExit w:val="0"/>
                <w:textInput>
                  <w:default w:val="[insert Primary Care Prescriber's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Primary Care Prescriber's name]</w:t>
          </w:r>
          <w:r w:rsidRPr="007F3BE3">
            <w:rPr>
              <w:rFonts w:ascii="Calibri" w:eastAsia="Times New Roman" w:hAnsi="Calibri" w:cs="Calibri"/>
              <w:i/>
            </w:rPr>
            <w:fldChar w:fldCharType="end"/>
          </w:r>
        </w:sdtContent>
      </w:sdt>
    </w:p>
    <w:p w14:paraId="27DCDAFC" w14:textId="77777777" w:rsidR="007F3BE3" w:rsidRPr="007F3BE3" w:rsidRDefault="007F3BE3" w:rsidP="007F3BE3">
      <w:pPr>
        <w:spacing w:before="0" w:after="0" w:line="276" w:lineRule="auto"/>
        <w:ind w:left="720"/>
        <w:rPr>
          <w:rFonts w:ascii="Calibri" w:eastAsia="Times New Roman" w:hAnsi="Calibri" w:cs="Calibri"/>
          <w:sz w:val="8"/>
          <w:szCs w:val="8"/>
        </w:rPr>
      </w:pPr>
    </w:p>
    <w:p w14:paraId="5EC9B0F7" w14:textId="77777777" w:rsidR="007F3BE3" w:rsidRPr="007F3BE3" w:rsidRDefault="007F3BE3" w:rsidP="007F3BE3">
      <w:pPr>
        <w:spacing w:before="0" w:after="0" w:line="276" w:lineRule="auto"/>
        <w:rPr>
          <w:rFonts w:ascii="Calibri" w:eastAsia="Times New Roman" w:hAnsi="Calibri" w:cs="Calibri"/>
        </w:rPr>
      </w:pPr>
      <w:r w:rsidRPr="007F3BE3">
        <w:rPr>
          <w:rFonts w:ascii="Calibri" w:eastAsia="Times New Roman" w:hAnsi="Calibri" w:cs="Calibri"/>
        </w:rPr>
        <w:t>Patient name:</w:t>
      </w:r>
      <w:r w:rsidRPr="007F3BE3">
        <w:rPr>
          <w:rFonts w:ascii="Calibri" w:eastAsia="Times New Roman" w:hAnsi="Calibri" w:cs="Calibri"/>
        </w:rPr>
        <w:tab/>
      </w:r>
      <w:sdt>
        <w:sdtPr>
          <w:rPr>
            <w:rFonts w:ascii="Calibri" w:eastAsia="Times New Roman" w:hAnsi="Calibri" w:cs="Calibri"/>
          </w:rPr>
          <w:id w:val="-1554999589"/>
          <w:placeholder>
            <w:docPart w:val="96A41C8F59FB473F8779F883F8A7C381"/>
          </w:placeholder>
        </w:sdtPr>
        <w:sdtEndPr>
          <w:rPr>
            <w:i/>
          </w:rPr>
        </w:sdtEndPr>
        <w:sdtContent>
          <w:r w:rsidRPr="007F3BE3">
            <w:rPr>
              <w:rFonts w:ascii="Calibri" w:eastAsia="Times New Roman" w:hAnsi="Calibri" w:cs="Calibri"/>
              <w:i/>
            </w:rPr>
            <w:fldChar w:fldCharType="begin">
              <w:ffData>
                <w:name w:val="Text58"/>
                <w:enabled/>
                <w:calcOnExit w:val="0"/>
                <w:textInput>
                  <w:default w:val="[insert patient's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patient's name]</w:t>
          </w:r>
          <w:r w:rsidRPr="007F3BE3">
            <w:rPr>
              <w:rFonts w:ascii="Calibri" w:eastAsia="Times New Roman" w:hAnsi="Calibri" w:cs="Calibri"/>
              <w:i/>
            </w:rPr>
            <w:fldChar w:fldCharType="end"/>
          </w:r>
        </w:sdtContent>
      </w:sdt>
    </w:p>
    <w:p w14:paraId="7A96CF24" w14:textId="77777777" w:rsidR="007F3BE3" w:rsidRPr="007F3BE3" w:rsidRDefault="007F3BE3" w:rsidP="007F3BE3">
      <w:pPr>
        <w:spacing w:before="0" w:after="0" w:line="276" w:lineRule="auto"/>
        <w:rPr>
          <w:rFonts w:ascii="Calibri" w:eastAsia="Times New Roman" w:hAnsi="Calibri" w:cs="Calibri"/>
          <w:i/>
        </w:rPr>
      </w:pPr>
      <w:r w:rsidRPr="007F3BE3">
        <w:rPr>
          <w:rFonts w:ascii="Calibri" w:eastAsia="Times New Roman" w:hAnsi="Calibri" w:cs="Calibri"/>
        </w:rPr>
        <w:t>Date of birth:</w:t>
      </w:r>
      <w:r w:rsidRPr="007F3BE3">
        <w:rPr>
          <w:rFonts w:ascii="Calibri" w:eastAsia="Times New Roman" w:hAnsi="Calibri" w:cs="Calibri"/>
        </w:rPr>
        <w:tab/>
      </w:r>
      <w:sdt>
        <w:sdtPr>
          <w:rPr>
            <w:rFonts w:ascii="Calibri" w:eastAsia="Times New Roman" w:hAnsi="Calibri" w:cs="Calibri"/>
          </w:rPr>
          <w:id w:val="-12999949"/>
          <w:placeholder>
            <w:docPart w:val="96A41C8F59FB473F8779F883F8A7C381"/>
          </w:placeholder>
        </w:sdtPr>
        <w:sdtEndPr>
          <w:rPr>
            <w:i/>
          </w:rPr>
        </w:sdtEndPr>
        <w:sdtContent>
          <w:r w:rsidRPr="007F3BE3">
            <w:rPr>
              <w:rFonts w:ascii="Calibri" w:eastAsia="Times New Roman" w:hAnsi="Calibri" w:cs="Calibri"/>
              <w:i/>
            </w:rPr>
            <w:fldChar w:fldCharType="begin">
              <w:ffData>
                <w:name w:val="Text59"/>
                <w:enabled/>
                <w:calcOnExit w:val="0"/>
                <w:textInput>
                  <w:default w:val="[insert date of birth]"/>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date of birth]</w:t>
          </w:r>
          <w:r w:rsidRPr="007F3BE3">
            <w:rPr>
              <w:rFonts w:ascii="Calibri" w:eastAsia="Times New Roman" w:hAnsi="Calibri" w:cs="Calibri"/>
              <w:i/>
            </w:rPr>
            <w:fldChar w:fldCharType="end"/>
          </w:r>
        </w:sdtContent>
      </w:sdt>
    </w:p>
    <w:p w14:paraId="06958900" w14:textId="77777777" w:rsidR="007F3BE3" w:rsidRPr="007F3BE3" w:rsidRDefault="007F3BE3" w:rsidP="007F3BE3">
      <w:pPr>
        <w:spacing w:before="0" w:after="0" w:line="276" w:lineRule="auto"/>
        <w:rPr>
          <w:rFonts w:ascii="Calibri" w:eastAsia="Times New Roman" w:hAnsi="Calibri" w:cs="Calibri"/>
        </w:rPr>
      </w:pPr>
      <w:r w:rsidRPr="007F3BE3">
        <w:rPr>
          <w:rFonts w:ascii="Calibri" w:eastAsia="Times New Roman" w:hAnsi="Calibri" w:cs="Calibri"/>
        </w:rPr>
        <w:t>NHS Number</w:t>
      </w:r>
      <w:r w:rsidRPr="007F3BE3">
        <w:rPr>
          <w:rFonts w:ascii="Calibri" w:eastAsia="Times New Roman" w:hAnsi="Calibri" w:cs="Calibri"/>
          <w:i/>
        </w:rPr>
        <w:t xml:space="preserve">: </w:t>
      </w:r>
      <w:r w:rsidRPr="007F3BE3">
        <w:rPr>
          <w:rFonts w:ascii="Calibri" w:eastAsia="Times New Roman" w:hAnsi="Calibri" w:cs="Calibri"/>
          <w:i/>
        </w:rPr>
        <w:tab/>
      </w:r>
      <w:sdt>
        <w:sdtPr>
          <w:rPr>
            <w:rFonts w:ascii="Calibri" w:eastAsia="Times New Roman" w:hAnsi="Calibri" w:cs="Calibri"/>
            <w:i/>
          </w:rPr>
          <w:id w:val="1319769917"/>
          <w:placeholder>
            <w:docPart w:val="96A41C8F59FB473F8779F883F8A7C381"/>
          </w:placeholder>
        </w:sdtPr>
        <w:sdtContent>
          <w:r w:rsidRPr="007F3BE3">
            <w:rPr>
              <w:rFonts w:ascii="Calibri" w:eastAsia="Times New Roman" w:hAnsi="Calibri" w:cs="Calibri"/>
              <w:i/>
            </w:rPr>
            <w:fldChar w:fldCharType="begin">
              <w:ffData>
                <w:name w:val=""/>
                <w:enabled/>
                <w:calcOnExit w:val="0"/>
                <w:textInput>
                  <w:default w:val="[insert NHS Number]"/>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NHS Number]</w:t>
          </w:r>
          <w:r w:rsidRPr="007F3BE3">
            <w:rPr>
              <w:rFonts w:ascii="Calibri" w:eastAsia="Times New Roman" w:hAnsi="Calibri" w:cs="Calibri"/>
              <w:i/>
            </w:rPr>
            <w:fldChar w:fldCharType="end"/>
          </w:r>
        </w:sdtContent>
      </w:sdt>
    </w:p>
    <w:p w14:paraId="31B56E49" w14:textId="77777777" w:rsidR="007F3BE3" w:rsidRPr="007F3BE3" w:rsidRDefault="007F3BE3" w:rsidP="007F3BE3">
      <w:pPr>
        <w:spacing w:before="0" w:after="0" w:line="276" w:lineRule="auto"/>
        <w:rPr>
          <w:rFonts w:ascii="Calibri" w:eastAsia="Times New Roman" w:hAnsi="Calibri" w:cs="Calibri"/>
          <w:i/>
        </w:rPr>
      </w:pPr>
      <w:r w:rsidRPr="007F3BE3">
        <w:rPr>
          <w:rFonts w:ascii="Calibri" w:eastAsia="Times New Roman" w:hAnsi="Calibri" w:cs="Calibri"/>
        </w:rPr>
        <w:t>Diagnosis:</w:t>
      </w:r>
      <w:r w:rsidRPr="007F3BE3">
        <w:rPr>
          <w:rFonts w:ascii="Calibri" w:eastAsia="Times New Roman" w:hAnsi="Calibri" w:cs="Calibri"/>
        </w:rPr>
        <w:tab/>
      </w:r>
      <w:sdt>
        <w:sdtPr>
          <w:rPr>
            <w:rFonts w:ascii="Calibri" w:eastAsia="Times New Roman" w:hAnsi="Calibri" w:cs="Calibri"/>
          </w:rPr>
          <w:id w:val="-174184015"/>
          <w:placeholder>
            <w:docPart w:val="96A41C8F59FB473F8779F883F8A7C381"/>
          </w:placeholder>
        </w:sdtPr>
        <w:sdtEndPr>
          <w:rPr>
            <w:i/>
          </w:rPr>
        </w:sdtEndPr>
        <w:sdtContent>
          <w:r w:rsidRPr="007F3BE3">
            <w:rPr>
              <w:rFonts w:ascii="Calibri" w:eastAsia="Times New Roman" w:hAnsi="Calibri" w:cs="Calibri"/>
              <w:i/>
            </w:rPr>
            <w:fldChar w:fldCharType="begin">
              <w:ffData>
                <w:name w:val="Text60"/>
                <w:enabled/>
                <w:calcOnExit w:val="0"/>
                <w:textInput>
                  <w:default w:val="[insert diagnosis]"/>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diagnosis]</w:t>
          </w:r>
          <w:r w:rsidRPr="007F3BE3">
            <w:rPr>
              <w:rFonts w:ascii="Calibri" w:eastAsia="Times New Roman" w:hAnsi="Calibri" w:cs="Calibri"/>
              <w:i/>
            </w:rPr>
            <w:fldChar w:fldCharType="end"/>
          </w:r>
        </w:sdtContent>
      </w:sdt>
    </w:p>
    <w:p w14:paraId="1854C395" w14:textId="77777777" w:rsidR="007F3BE3" w:rsidRPr="007F3BE3" w:rsidRDefault="007F3BE3" w:rsidP="007F3BE3">
      <w:pPr>
        <w:spacing w:before="0" w:after="0" w:line="276" w:lineRule="auto"/>
        <w:rPr>
          <w:rFonts w:ascii="Calibri" w:eastAsia="Times New Roman" w:hAnsi="Calibri" w:cs="Calibri"/>
          <w:sz w:val="8"/>
          <w:szCs w:val="8"/>
        </w:rPr>
      </w:pPr>
    </w:p>
    <w:p w14:paraId="06DFF589" w14:textId="77777777" w:rsidR="007F3BE3" w:rsidRPr="007F3BE3" w:rsidRDefault="007F3BE3" w:rsidP="007F3BE3">
      <w:pPr>
        <w:spacing w:before="0" w:after="0" w:line="240" w:lineRule="auto"/>
        <w:rPr>
          <w:rFonts w:ascii="Calibri" w:eastAsia="Times New Roman" w:hAnsi="Calibri" w:cs="Calibri"/>
          <w:i/>
          <w:iCs/>
        </w:rPr>
      </w:pPr>
      <w:r w:rsidRPr="007F3BE3">
        <w:rPr>
          <w:rFonts w:ascii="Calibri" w:eastAsia="Times New Roman" w:hAnsi="Calibri" w:cs="Calibri"/>
        </w:rPr>
        <w:t>As per the agreed NENC shared care protocol for amiodarone</w:t>
      </w:r>
      <w:r w:rsidRPr="007F3BE3">
        <w:rPr>
          <w:rFonts w:ascii="Calibri" w:eastAsia="Times New Roman" w:hAnsi="Calibri" w:cs="Calibri"/>
          <w:i/>
        </w:rPr>
        <w:t xml:space="preserve">, </w:t>
      </w:r>
      <w:r w:rsidRPr="007F3BE3">
        <w:rPr>
          <w:rFonts w:ascii="Calibri" w:eastAsia="Times New Roman" w:hAnsi="Calibri" w:cs="Calibri"/>
        </w:rPr>
        <w:t>this patient is now suitable for prescribing to move to primary care.</w:t>
      </w:r>
    </w:p>
    <w:p w14:paraId="58DB4A68" w14:textId="77777777" w:rsidR="007F3BE3" w:rsidRPr="007F3BE3" w:rsidRDefault="007F3BE3" w:rsidP="007F3BE3">
      <w:pPr>
        <w:spacing w:before="0" w:after="0" w:line="240" w:lineRule="auto"/>
        <w:rPr>
          <w:rFonts w:ascii="Calibri" w:eastAsia="Times New Roman" w:hAnsi="Calibri" w:cs="Calibri"/>
          <w:sz w:val="8"/>
          <w:szCs w:val="8"/>
        </w:rPr>
      </w:pPr>
      <w:r w:rsidRPr="007F3BE3">
        <w:rPr>
          <w:rFonts w:ascii="Calibri" w:eastAsia="Times New Roman" w:hAnsi="Calibri" w:cs="Calibri"/>
        </w:rPr>
        <w:t xml:space="preserve"> </w:t>
      </w:r>
    </w:p>
    <w:p w14:paraId="6FC2561D" w14:textId="77777777" w:rsidR="007F3BE3" w:rsidRPr="007F3BE3" w:rsidRDefault="007F3BE3" w:rsidP="007F3BE3">
      <w:pPr>
        <w:spacing w:before="0" w:after="0" w:line="240" w:lineRule="auto"/>
        <w:rPr>
          <w:rFonts w:ascii="Calibri" w:eastAsia="Times New Roman" w:hAnsi="Calibri" w:cs="Calibri"/>
        </w:rPr>
      </w:pPr>
      <w:r w:rsidRPr="007F3BE3">
        <w:rPr>
          <w:rFonts w:ascii="Calibri" w:eastAsia="Times New Roman" w:hAnsi="Calibri" w:cs="Calibri"/>
        </w:rPr>
        <w:t xml:space="preserve">The patient fulfils criteria for shared </w:t>
      </w:r>
      <w:proofErr w:type="gramStart"/>
      <w:r w:rsidRPr="007F3BE3">
        <w:rPr>
          <w:rFonts w:ascii="Calibri" w:eastAsia="Times New Roman" w:hAnsi="Calibri" w:cs="Calibri"/>
        </w:rPr>
        <w:t>care</w:t>
      </w:r>
      <w:proofErr w:type="gramEnd"/>
      <w:r w:rsidRPr="007F3BE3">
        <w:rPr>
          <w:rFonts w:ascii="Calibri" w:eastAsia="Times New Roman" w:hAnsi="Calibri" w:cs="Calibri"/>
        </w:rPr>
        <w:t xml:space="preserve"> and I am therefore requesting your agreement to participate in shared care. Where baseline investigations are set out in the shared care protocol, I have carried these out.</w:t>
      </w:r>
    </w:p>
    <w:p w14:paraId="0D6E8AAD" w14:textId="77777777" w:rsidR="007F3BE3" w:rsidRPr="007F3BE3" w:rsidRDefault="007F3BE3" w:rsidP="007F3BE3">
      <w:pPr>
        <w:spacing w:before="0" w:after="0" w:line="240" w:lineRule="auto"/>
        <w:rPr>
          <w:rFonts w:ascii="Calibri" w:eastAsia="Times New Roman" w:hAnsi="Calibri" w:cs="Calibri"/>
          <w:sz w:val="8"/>
          <w:szCs w:val="8"/>
        </w:rPr>
      </w:pPr>
    </w:p>
    <w:p w14:paraId="64CAD74D" w14:textId="77777777" w:rsidR="007F3BE3" w:rsidRPr="007F3BE3" w:rsidRDefault="007F3BE3" w:rsidP="007F3BE3">
      <w:pPr>
        <w:spacing w:before="0" w:after="0" w:line="240" w:lineRule="auto"/>
        <w:rPr>
          <w:rFonts w:ascii="Calibri" w:eastAsia="Times New Roman" w:hAnsi="Calibri" w:cs="Calibri"/>
        </w:rPr>
      </w:pPr>
      <w:r w:rsidRPr="007F3BE3">
        <w:rPr>
          <w:rFonts w:ascii="Calibri" w:eastAsia="Times New Roman" w:hAnsi="Calibri" w:cs="Calibri"/>
        </w:rPr>
        <w:t>I can confirm that the following has happened regarding this treatment:</w:t>
      </w:r>
    </w:p>
    <w:tbl>
      <w:tblPr>
        <w:tblStyle w:val="TableGrid"/>
        <w:tblW w:w="9923" w:type="dxa"/>
        <w:tblInd w:w="-5" w:type="dxa"/>
        <w:tblLook w:val="04A0" w:firstRow="1" w:lastRow="0" w:firstColumn="1" w:lastColumn="0" w:noHBand="0" w:noVBand="1"/>
      </w:tblPr>
      <w:tblGrid>
        <w:gridCol w:w="7508"/>
        <w:gridCol w:w="2415"/>
      </w:tblGrid>
      <w:tr w:rsidR="007F3BE3" w:rsidRPr="007F3BE3" w14:paraId="5FD497FF" w14:textId="77777777" w:rsidTr="007F3BE3">
        <w:tc>
          <w:tcPr>
            <w:tcW w:w="7508" w:type="dxa"/>
          </w:tcPr>
          <w:p w14:paraId="54B2979D" w14:textId="77777777" w:rsidR="007F3BE3" w:rsidRPr="007F3BE3" w:rsidRDefault="007F3BE3" w:rsidP="007F3BE3">
            <w:pPr>
              <w:jc w:val="center"/>
              <w:rPr>
                <w:rFonts w:ascii="Calibri" w:eastAsia="Times New Roman" w:hAnsi="Calibri" w:cs="Arial"/>
                <w:b/>
                <w:sz w:val="20"/>
                <w:szCs w:val="20"/>
              </w:rPr>
            </w:pPr>
          </w:p>
        </w:tc>
        <w:tc>
          <w:tcPr>
            <w:tcW w:w="2415" w:type="dxa"/>
          </w:tcPr>
          <w:p w14:paraId="626F386D" w14:textId="77777777" w:rsidR="007F3BE3" w:rsidRPr="007F3BE3" w:rsidRDefault="007F3BE3" w:rsidP="007F3BE3">
            <w:pPr>
              <w:jc w:val="center"/>
              <w:rPr>
                <w:rFonts w:ascii="Calibri" w:eastAsia="Times New Roman" w:hAnsi="Calibri" w:cs="Arial"/>
                <w:b/>
                <w:sz w:val="20"/>
                <w:szCs w:val="20"/>
              </w:rPr>
            </w:pPr>
            <w:r w:rsidRPr="007F3BE3">
              <w:rPr>
                <w:rFonts w:ascii="Calibri" w:eastAsia="Times New Roman" w:hAnsi="Calibri" w:cs="Arial"/>
                <w:b/>
                <w:sz w:val="20"/>
                <w:szCs w:val="20"/>
              </w:rPr>
              <w:t>Specialist to complete</w:t>
            </w:r>
          </w:p>
        </w:tc>
      </w:tr>
      <w:tr w:rsidR="007F3BE3" w:rsidRPr="007F3BE3" w14:paraId="79549DBF" w14:textId="77777777" w:rsidTr="007F3BE3">
        <w:tc>
          <w:tcPr>
            <w:tcW w:w="7508" w:type="dxa"/>
          </w:tcPr>
          <w:p w14:paraId="79D7E8C6"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The patient has been initiated on this therapy and has been on an optimised dose for the following period of time:</w:t>
            </w:r>
          </w:p>
        </w:tc>
        <w:sdt>
          <w:sdtPr>
            <w:rPr>
              <w:rFonts w:ascii="Calibri" w:eastAsia="Times New Roman" w:hAnsi="Calibri" w:cs="Arial"/>
              <w:iCs/>
              <w:sz w:val="20"/>
              <w:szCs w:val="20"/>
            </w:rPr>
            <w:id w:val="239997041"/>
            <w:placeholder>
              <w:docPart w:val="96A41C8F59FB473F8779F883F8A7C381"/>
            </w:placeholder>
            <w:showingPlcHdr/>
          </w:sdtPr>
          <w:sdtContent>
            <w:tc>
              <w:tcPr>
                <w:tcW w:w="2415" w:type="dxa"/>
              </w:tcPr>
              <w:p w14:paraId="6B09FDA5" w14:textId="77777777" w:rsidR="007F3BE3" w:rsidRPr="007F3BE3" w:rsidRDefault="007F3BE3" w:rsidP="007F3BE3">
                <w:pPr>
                  <w:rPr>
                    <w:rFonts w:ascii="Calibri" w:eastAsia="Times New Roman" w:hAnsi="Calibri" w:cs="Arial"/>
                    <w:iCs/>
                    <w:sz w:val="20"/>
                    <w:szCs w:val="20"/>
                  </w:rPr>
                </w:pPr>
                <w:r w:rsidRPr="007F3BE3">
                  <w:rPr>
                    <w:rFonts w:ascii="Calibri" w:eastAsia="Calibri" w:hAnsi="Calibri" w:cs="Times New Roman"/>
                    <w:color w:val="808080"/>
                  </w:rPr>
                  <w:t>Click or tap here to enter text.</w:t>
                </w:r>
              </w:p>
            </w:tc>
          </w:sdtContent>
        </w:sdt>
      </w:tr>
      <w:tr w:rsidR="007F3BE3" w:rsidRPr="007F3BE3" w14:paraId="089B0E7D" w14:textId="77777777" w:rsidTr="007F3BE3">
        <w:tc>
          <w:tcPr>
            <w:tcW w:w="7508" w:type="dxa"/>
          </w:tcPr>
          <w:p w14:paraId="3E349D80"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Baseline investigation and monitoring as set out in the shared care documents have been completed and were satisfactory</w:t>
            </w:r>
          </w:p>
        </w:tc>
        <w:tc>
          <w:tcPr>
            <w:tcW w:w="2415" w:type="dxa"/>
          </w:tcPr>
          <w:sdt>
            <w:sdtPr>
              <w:rPr>
                <w:rFonts w:ascii="Calibri" w:eastAsia="Times New Roman" w:hAnsi="Calibri" w:cs="Arial"/>
                <w:iCs/>
                <w:sz w:val="20"/>
                <w:szCs w:val="20"/>
              </w:rPr>
              <w:id w:val="-1059556020"/>
              <w:placeholder>
                <w:docPart w:val="96A41C8F59FB473F8779F883F8A7C381"/>
              </w:placeholder>
            </w:sdtPr>
            <w:sdtContent>
              <w:p w14:paraId="038B0DBF" w14:textId="77777777" w:rsidR="007F3BE3" w:rsidRPr="007F3BE3" w:rsidRDefault="007F3BE3" w:rsidP="007F3BE3">
                <w:pPr>
                  <w:jc w:val="center"/>
                  <w:rPr>
                    <w:rFonts w:ascii="Calibri" w:eastAsia="Times New Roman" w:hAnsi="Calibri" w:cs="Arial"/>
                    <w:iCs/>
                    <w:sz w:val="20"/>
                    <w:szCs w:val="20"/>
                  </w:rPr>
                </w:pPr>
                <w:proofErr w:type="gramStart"/>
                <w:r w:rsidRPr="007F3BE3">
                  <w:rPr>
                    <w:rFonts w:ascii="Calibri" w:eastAsia="Times New Roman" w:hAnsi="Calibri" w:cs="Arial"/>
                    <w:iCs/>
                    <w:sz w:val="20"/>
                    <w:szCs w:val="20"/>
                  </w:rPr>
                  <w:t>Yes  /</w:t>
                </w:r>
                <w:proofErr w:type="gramEnd"/>
                <w:r w:rsidRPr="007F3BE3">
                  <w:rPr>
                    <w:rFonts w:ascii="Calibri" w:eastAsia="Times New Roman" w:hAnsi="Calibri" w:cs="Arial"/>
                    <w:iCs/>
                    <w:sz w:val="20"/>
                    <w:szCs w:val="20"/>
                  </w:rPr>
                  <w:t xml:space="preserve">  No</w:t>
                </w:r>
              </w:p>
            </w:sdtContent>
          </w:sdt>
        </w:tc>
      </w:tr>
      <w:tr w:rsidR="007F3BE3" w:rsidRPr="007F3BE3" w14:paraId="390F1604" w14:textId="77777777" w:rsidTr="007F3BE3">
        <w:tc>
          <w:tcPr>
            <w:tcW w:w="7508" w:type="dxa"/>
          </w:tcPr>
          <w:p w14:paraId="3F878A6E"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The condition being treated has a predictable course of progression and the patient can be suitably maintained by primary care</w:t>
            </w:r>
          </w:p>
        </w:tc>
        <w:tc>
          <w:tcPr>
            <w:tcW w:w="2415" w:type="dxa"/>
          </w:tcPr>
          <w:sdt>
            <w:sdtPr>
              <w:rPr>
                <w:rFonts w:ascii="Calibri" w:eastAsia="Times New Roman" w:hAnsi="Calibri" w:cs="Arial"/>
                <w:iCs/>
                <w:sz w:val="20"/>
                <w:szCs w:val="20"/>
              </w:rPr>
              <w:id w:val="291800188"/>
              <w:placeholder>
                <w:docPart w:val="96A41C8F59FB473F8779F883F8A7C381"/>
              </w:placeholder>
            </w:sdtPr>
            <w:sdtContent>
              <w:p w14:paraId="4DD68091" w14:textId="77777777" w:rsidR="007F3BE3" w:rsidRPr="007F3BE3" w:rsidRDefault="007F3BE3" w:rsidP="007F3BE3">
                <w:pPr>
                  <w:jc w:val="center"/>
                  <w:rPr>
                    <w:rFonts w:ascii="Calibri" w:eastAsia="Times New Roman" w:hAnsi="Calibri" w:cs="Arial"/>
                    <w:iCs/>
                    <w:sz w:val="20"/>
                    <w:szCs w:val="20"/>
                  </w:rPr>
                </w:pPr>
                <w:proofErr w:type="gramStart"/>
                <w:r w:rsidRPr="007F3BE3">
                  <w:rPr>
                    <w:rFonts w:ascii="Calibri" w:eastAsia="Times New Roman" w:hAnsi="Calibri" w:cs="Arial"/>
                    <w:iCs/>
                    <w:sz w:val="20"/>
                    <w:szCs w:val="20"/>
                  </w:rPr>
                  <w:t>Yes  /</w:t>
                </w:r>
                <w:proofErr w:type="gramEnd"/>
                <w:r w:rsidRPr="007F3BE3">
                  <w:rPr>
                    <w:rFonts w:ascii="Calibri" w:eastAsia="Times New Roman" w:hAnsi="Calibri" w:cs="Arial"/>
                    <w:iCs/>
                    <w:sz w:val="20"/>
                    <w:szCs w:val="20"/>
                  </w:rPr>
                  <w:t xml:space="preserve">  No</w:t>
                </w:r>
              </w:p>
            </w:sdtContent>
          </w:sdt>
        </w:tc>
      </w:tr>
      <w:tr w:rsidR="007F3BE3" w:rsidRPr="007F3BE3" w14:paraId="1642063D" w14:textId="77777777" w:rsidTr="007F3BE3">
        <w:tc>
          <w:tcPr>
            <w:tcW w:w="7508" w:type="dxa"/>
          </w:tcPr>
          <w:p w14:paraId="12CC5B0B"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The risks and benefits of treatment have been explained to the patient</w:t>
            </w:r>
          </w:p>
        </w:tc>
        <w:tc>
          <w:tcPr>
            <w:tcW w:w="2415" w:type="dxa"/>
          </w:tcPr>
          <w:sdt>
            <w:sdtPr>
              <w:rPr>
                <w:rFonts w:ascii="Calibri" w:eastAsia="Calibri" w:hAnsi="Calibri" w:cs="Arial"/>
                <w:iCs/>
                <w:sz w:val="20"/>
                <w:szCs w:val="20"/>
              </w:rPr>
              <w:id w:val="-1880626265"/>
              <w:placeholder>
                <w:docPart w:val="96A41C8F59FB473F8779F883F8A7C381"/>
              </w:placeholder>
            </w:sdtPr>
            <w:sdtContent>
              <w:p w14:paraId="44CD6254" w14:textId="77777777" w:rsidR="007F3BE3" w:rsidRPr="007F3BE3" w:rsidRDefault="007F3BE3" w:rsidP="007F3BE3">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7F3BE3" w:rsidRPr="007F3BE3" w14:paraId="752A4C5F" w14:textId="77777777" w:rsidTr="007F3BE3">
        <w:tc>
          <w:tcPr>
            <w:tcW w:w="7508" w:type="dxa"/>
          </w:tcPr>
          <w:p w14:paraId="7DF5FDD7"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The roles of the specialist/specialist team/</w:t>
            </w:r>
            <w:r w:rsidRPr="007F3BE3">
              <w:rPr>
                <w:rFonts w:ascii="Calibri" w:eastAsia="Calibri" w:hAnsi="Calibri" w:cs="Arial"/>
                <w:iCs/>
                <w:sz w:val="20"/>
                <w:szCs w:val="20"/>
              </w:rPr>
              <w:t xml:space="preserve"> </w:t>
            </w:r>
            <w:r w:rsidRPr="007F3BE3">
              <w:rPr>
                <w:rFonts w:ascii="Calibri" w:eastAsia="Times New Roman" w:hAnsi="Calibri" w:cs="Arial"/>
                <w:iCs/>
                <w:sz w:val="20"/>
                <w:szCs w:val="20"/>
              </w:rPr>
              <w:t>Primary Care Prescriber / Patient and pharmacist have been explained and agreed</w:t>
            </w:r>
          </w:p>
        </w:tc>
        <w:tc>
          <w:tcPr>
            <w:tcW w:w="2415" w:type="dxa"/>
          </w:tcPr>
          <w:sdt>
            <w:sdtPr>
              <w:rPr>
                <w:rFonts w:ascii="Calibri" w:eastAsia="Calibri" w:hAnsi="Calibri" w:cs="Arial"/>
                <w:iCs/>
                <w:sz w:val="20"/>
                <w:szCs w:val="20"/>
              </w:rPr>
              <w:id w:val="-1467192733"/>
              <w:placeholder>
                <w:docPart w:val="96A41C8F59FB473F8779F883F8A7C381"/>
              </w:placeholder>
            </w:sdtPr>
            <w:sdtContent>
              <w:p w14:paraId="61181D56" w14:textId="77777777" w:rsidR="007F3BE3" w:rsidRPr="007F3BE3" w:rsidRDefault="007F3BE3" w:rsidP="007F3BE3">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7F3BE3" w:rsidRPr="007F3BE3" w14:paraId="7B2012DB" w14:textId="77777777" w:rsidTr="007F3BE3">
        <w:tc>
          <w:tcPr>
            <w:tcW w:w="7508" w:type="dxa"/>
          </w:tcPr>
          <w:p w14:paraId="72C0DA6F"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The patient has agreed to this shared care arrangement, understands the need for ongoing monitoring, and has agreed to attend all necessary appointments</w:t>
            </w:r>
          </w:p>
        </w:tc>
        <w:tc>
          <w:tcPr>
            <w:tcW w:w="2415" w:type="dxa"/>
          </w:tcPr>
          <w:sdt>
            <w:sdtPr>
              <w:rPr>
                <w:rFonts w:ascii="Calibri" w:eastAsia="Calibri" w:hAnsi="Calibri" w:cs="Arial"/>
                <w:iCs/>
                <w:sz w:val="20"/>
                <w:szCs w:val="20"/>
              </w:rPr>
              <w:id w:val="-1091692839"/>
              <w:placeholder>
                <w:docPart w:val="96A41C8F59FB473F8779F883F8A7C381"/>
              </w:placeholder>
            </w:sdtPr>
            <w:sdtContent>
              <w:p w14:paraId="6B88D353" w14:textId="77777777" w:rsidR="007F3BE3" w:rsidRPr="007F3BE3" w:rsidRDefault="007F3BE3" w:rsidP="007F3BE3">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7F3BE3" w:rsidRPr="007F3BE3" w14:paraId="7C7445F8" w14:textId="77777777" w:rsidTr="007F3BE3">
        <w:tc>
          <w:tcPr>
            <w:tcW w:w="7508" w:type="dxa"/>
          </w:tcPr>
          <w:p w14:paraId="18805791" w14:textId="14DA9592"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 xml:space="preserve">I have enclosed a copy of the shared care </w:t>
            </w:r>
            <w:proofErr w:type="gramStart"/>
            <w:r w:rsidRPr="007F3BE3">
              <w:rPr>
                <w:rFonts w:ascii="Calibri" w:eastAsia="Times New Roman" w:hAnsi="Calibri" w:cs="Arial"/>
                <w:iCs/>
                <w:sz w:val="20"/>
                <w:szCs w:val="20"/>
              </w:rPr>
              <w:t>protocol  which</w:t>
            </w:r>
            <w:proofErr w:type="gramEnd"/>
            <w:r w:rsidRPr="007F3BE3">
              <w:rPr>
                <w:rFonts w:ascii="Calibri" w:eastAsia="Times New Roman" w:hAnsi="Calibri" w:cs="Arial"/>
                <w:iCs/>
                <w:sz w:val="20"/>
                <w:szCs w:val="20"/>
              </w:rPr>
              <w:t xml:space="preserve"> covers this treatment/the SCP can be found here</w:t>
            </w:r>
            <w:r>
              <w:t xml:space="preserve"> </w:t>
            </w:r>
            <w:hyperlink r:id="rId48" w:history="1">
              <w:r w:rsidRPr="00C52342">
                <w:rPr>
                  <w:rStyle w:val="Hyperlink"/>
                  <w:rFonts w:ascii="Calibri" w:eastAsia="Times New Roman" w:hAnsi="Calibri" w:cs="Arial"/>
                  <w:iCs/>
                  <w:sz w:val="20"/>
                  <w:szCs w:val="20"/>
                </w:rPr>
                <w:t>https://ntag.nhs.uk/shared-care-guidelines/</w:t>
              </w:r>
            </w:hyperlink>
            <w:r w:rsidRPr="007F3BE3">
              <w:rPr>
                <w:rFonts w:ascii="Calibri" w:eastAsia="Times New Roman" w:hAnsi="Calibri" w:cs="Arial"/>
                <w:iCs/>
                <w:sz w:val="20"/>
                <w:szCs w:val="20"/>
              </w:rPr>
              <w:t xml:space="preserve"> </w:t>
            </w:r>
          </w:p>
        </w:tc>
        <w:tc>
          <w:tcPr>
            <w:tcW w:w="2415" w:type="dxa"/>
          </w:tcPr>
          <w:sdt>
            <w:sdtPr>
              <w:rPr>
                <w:rFonts w:ascii="Calibri" w:eastAsia="Calibri" w:hAnsi="Calibri" w:cs="Arial"/>
                <w:iCs/>
                <w:sz w:val="20"/>
                <w:szCs w:val="20"/>
              </w:rPr>
              <w:id w:val="1664193921"/>
              <w:placeholder>
                <w:docPart w:val="96A41C8F59FB473F8779F883F8A7C381"/>
              </w:placeholder>
            </w:sdtPr>
            <w:sdtContent>
              <w:p w14:paraId="0EAC20D5" w14:textId="77777777" w:rsidR="007F3BE3" w:rsidRPr="007F3BE3" w:rsidRDefault="007F3BE3" w:rsidP="007F3BE3">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7F3BE3" w:rsidRPr="007F3BE3" w14:paraId="61633102" w14:textId="77777777" w:rsidTr="007F3BE3">
        <w:tc>
          <w:tcPr>
            <w:tcW w:w="7508" w:type="dxa"/>
          </w:tcPr>
          <w:p w14:paraId="13AD3CF3"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I have included with the letter copies of the information the patient has received</w:t>
            </w:r>
          </w:p>
        </w:tc>
        <w:tc>
          <w:tcPr>
            <w:tcW w:w="2415" w:type="dxa"/>
          </w:tcPr>
          <w:sdt>
            <w:sdtPr>
              <w:rPr>
                <w:rFonts w:ascii="Calibri" w:eastAsia="Calibri" w:hAnsi="Calibri" w:cs="Arial"/>
                <w:iCs/>
                <w:sz w:val="20"/>
                <w:szCs w:val="20"/>
              </w:rPr>
              <w:id w:val="-1586062534"/>
              <w:placeholder>
                <w:docPart w:val="96A41C8F59FB473F8779F883F8A7C381"/>
              </w:placeholder>
            </w:sdtPr>
            <w:sdtContent>
              <w:p w14:paraId="7807E182" w14:textId="77777777" w:rsidR="007F3BE3" w:rsidRPr="007F3BE3" w:rsidRDefault="007F3BE3" w:rsidP="007F3BE3">
                <w:pPr>
                  <w:jc w:val="center"/>
                  <w:rPr>
                    <w:rFonts w:ascii="Calibri" w:eastAsia="Calibri" w:hAnsi="Calibri" w:cs="Arial"/>
                    <w:iCs/>
                    <w:sz w:val="20"/>
                    <w:szCs w:val="20"/>
                  </w:rPr>
                </w:pPr>
                <w:proofErr w:type="gramStart"/>
                <w:r w:rsidRPr="007F3BE3">
                  <w:rPr>
                    <w:rFonts w:ascii="Calibri" w:eastAsia="Calibri" w:hAnsi="Calibri" w:cs="Arial"/>
                    <w:iCs/>
                    <w:sz w:val="20"/>
                    <w:szCs w:val="20"/>
                  </w:rPr>
                  <w:t>Yes  /</w:t>
                </w:r>
                <w:proofErr w:type="gramEnd"/>
                <w:r w:rsidRPr="007F3BE3">
                  <w:rPr>
                    <w:rFonts w:ascii="Calibri" w:eastAsia="Calibri" w:hAnsi="Calibri" w:cs="Arial"/>
                    <w:iCs/>
                    <w:sz w:val="20"/>
                    <w:szCs w:val="20"/>
                  </w:rPr>
                  <w:t xml:space="preserve">  No</w:t>
                </w:r>
              </w:p>
            </w:sdtContent>
          </w:sdt>
        </w:tc>
      </w:tr>
      <w:tr w:rsidR="007F3BE3" w:rsidRPr="007F3BE3" w14:paraId="255A41AD" w14:textId="77777777" w:rsidTr="007F3BE3">
        <w:tc>
          <w:tcPr>
            <w:tcW w:w="7508" w:type="dxa"/>
          </w:tcPr>
          <w:p w14:paraId="355C1270"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I have provided the patient with sufficient medication to last until</w:t>
            </w:r>
          </w:p>
        </w:tc>
        <w:sdt>
          <w:sdtPr>
            <w:rPr>
              <w:rFonts w:ascii="Calibri" w:eastAsia="Times New Roman" w:hAnsi="Calibri" w:cs="Arial"/>
              <w:iCs/>
              <w:sz w:val="20"/>
              <w:szCs w:val="20"/>
            </w:rPr>
            <w:id w:val="299048717"/>
            <w:placeholder>
              <w:docPart w:val="96A41C8F59FB473F8779F883F8A7C381"/>
            </w:placeholder>
            <w:showingPlcHdr/>
          </w:sdtPr>
          <w:sdtContent>
            <w:tc>
              <w:tcPr>
                <w:tcW w:w="2415" w:type="dxa"/>
              </w:tcPr>
              <w:p w14:paraId="283C1E11" w14:textId="77777777" w:rsidR="007F3BE3" w:rsidRPr="007F3BE3" w:rsidRDefault="007F3BE3" w:rsidP="007F3BE3">
                <w:pPr>
                  <w:rPr>
                    <w:rFonts w:ascii="Calibri" w:eastAsia="Times New Roman" w:hAnsi="Calibri" w:cs="Arial"/>
                    <w:iCs/>
                    <w:sz w:val="20"/>
                    <w:szCs w:val="20"/>
                  </w:rPr>
                </w:pPr>
                <w:r w:rsidRPr="007F3BE3">
                  <w:rPr>
                    <w:rFonts w:ascii="Calibri" w:eastAsia="Calibri" w:hAnsi="Calibri" w:cs="Times New Roman"/>
                    <w:color w:val="808080"/>
                  </w:rPr>
                  <w:t>Click or tap here to enter text.</w:t>
                </w:r>
              </w:p>
            </w:tc>
          </w:sdtContent>
        </w:sdt>
      </w:tr>
      <w:tr w:rsidR="007F3BE3" w:rsidRPr="007F3BE3" w14:paraId="2C7C9BB3" w14:textId="77777777" w:rsidTr="007F3BE3">
        <w:tc>
          <w:tcPr>
            <w:tcW w:w="7508" w:type="dxa"/>
          </w:tcPr>
          <w:p w14:paraId="129658FA" w14:textId="77777777" w:rsidR="007F3BE3" w:rsidRPr="007F3BE3" w:rsidRDefault="007F3BE3" w:rsidP="007F3BE3">
            <w:pPr>
              <w:jc w:val="right"/>
              <w:rPr>
                <w:rFonts w:ascii="Calibri" w:eastAsia="Times New Roman" w:hAnsi="Calibri" w:cs="Arial"/>
                <w:iCs/>
                <w:sz w:val="20"/>
                <w:szCs w:val="20"/>
              </w:rPr>
            </w:pPr>
            <w:r w:rsidRPr="007F3BE3">
              <w:rPr>
                <w:rFonts w:ascii="Calibri" w:eastAsia="Times New Roman" w:hAnsi="Calibri" w:cs="Arial"/>
                <w:iCs/>
                <w:sz w:val="20"/>
                <w:szCs w:val="20"/>
              </w:rPr>
              <w:t>I have arranged a follow up with this patient in the following timescale</w:t>
            </w:r>
          </w:p>
        </w:tc>
        <w:sdt>
          <w:sdtPr>
            <w:rPr>
              <w:rFonts w:ascii="Calibri" w:eastAsia="Times New Roman" w:hAnsi="Calibri" w:cs="Arial"/>
              <w:iCs/>
              <w:sz w:val="20"/>
              <w:szCs w:val="20"/>
            </w:rPr>
            <w:id w:val="-2084833223"/>
            <w:placeholder>
              <w:docPart w:val="96A41C8F59FB473F8779F883F8A7C381"/>
            </w:placeholder>
            <w:showingPlcHdr/>
          </w:sdtPr>
          <w:sdtContent>
            <w:tc>
              <w:tcPr>
                <w:tcW w:w="2415" w:type="dxa"/>
              </w:tcPr>
              <w:p w14:paraId="2CE01B1B" w14:textId="77777777" w:rsidR="007F3BE3" w:rsidRPr="007F3BE3" w:rsidRDefault="007F3BE3" w:rsidP="007F3BE3">
                <w:pPr>
                  <w:rPr>
                    <w:rFonts w:ascii="Calibri" w:eastAsia="Times New Roman" w:hAnsi="Calibri" w:cs="Arial"/>
                    <w:iCs/>
                    <w:sz w:val="20"/>
                    <w:szCs w:val="20"/>
                  </w:rPr>
                </w:pPr>
                <w:r w:rsidRPr="007F3BE3">
                  <w:rPr>
                    <w:rFonts w:ascii="Calibri" w:eastAsia="Calibri" w:hAnsi="Calibri" w:cs="Times New Roman"/>
                    <w:color w:val="808080"/>
                  </w:rPr>
                  <w:t>Click or tap here to enter text.</w:t>
                </w:r>
              </w:p>
            </w:tc>
          </w:sdtContent>
        </w:sdt>
      </w:tr>
    </w:tbl>
    <w:p w14:paraId="695F339E" w14:textId="77777777" w:rsidR="007F3BE3" w:rsidRPr="007F3BE3" w:rsidRDefault="007F3BE3" w:rsidP="007F3BE3">
      <w:pPr>
        <w:spacing w:before="0" w:line="276" w:lineRule="auto"/>
        <w:rPr>
          <w:rFonts w:ascii="Calibri" w:eastAsia="Calibri" w:hAnsi="Calibri" w:cs="Arial"/>
        </w:rPr>
      </w:pPr>
      <w:r w:rsidRPr="007F3BE3">
        <w:rPr>
          <w:rFonts w:ascii="Calibri" w:eastAsia="Calibri" w:hAnsi="Calibri" w:cs="Arial"/>
        </w:rPr>
        <w:t xml:space="preserve">Treatment was started on </w:t>
      </w:r>
      <w:sdt>
        <w:sdtPr>
          <w:rPr>
            <w:rFonts w:ascii="Calibri" w:eastAsia="Calibri" w:hAnsi="Calibri" w:cs="Arial"/>
          </w:rPr>
          <w:id w:val="198672912"/>
          <w:placeholder>
            <w:docPart w:val="96A41C8F59FB473F8779F883F8A7C381"/>
          </w:placeholder>
        </w:sdtPr>
        <w:sdtEndPr>
          <w:rPr>
            <w:i/>
          </w:rPr>
        </w:sdtEndPr>
        <w:sdtContent>
          <w:r w:rsidRPr="007F3BE3">
            <w:rPr>
              <w:rFonts w:ascii="Calibri" w:eastAsia="Calibri" w:hAnsi="Calibri" w:cs="Arial"/>
              <w:i/>
            </w:rPr>
            <w:fldChar w:fldCharType="begin">
              <w:ffData>
                <w:name w:val="Text63"/>
                <w:enabled/>
                <w:calcOnExit w:val="0"/>
                <w:textInput>
                  <w:default w:val="[insert date started]"/>
                </w:textInput>
              </w:ffData>
            </w:fldChar>
          </w:r>
          <w:r w:rsidRPr="007F3BE3">
            <w:rPr>
              <w:rFonts w:ascii="Calibri" w:eastAsia="Calibri" w:hAnsi="Calibri" w:cs="Arial"/>
              <w:i/>
            </w:rPr>
            <w:instrText xml:space="preserve"> FORMTEXT </w:instrText>
          </w:r>
          <w:r w:rsidRPr="007F3BE3">
            <w:rPr>
              <w:rFonts w:ascii="Calibri" w:eastAsia="Calibri" w:hAnsi="Calibri" w:cs="Arial"/>
              <w:i/>
            </w:rPr>
          </w:r>
          <w:r w:rsidRPr="007F3BE3">
            <w:rPr>
              <w:rFonts w:ascii="Calibri" w:eastAsia="Calibri" w:hAnsi="Calibri" w:cs="Arial"/>
              <w:i/>
            </w:rPr>
            <w:fldChar w:fldCharType="separate"/>
          </w:r>
          <w:r w:rsidRPr="007F3BE3">
            <w:rPr>
              <w:rFonts w:ascii="Calibri" w:eastAsia="Calibri" w:hAnsi="Calibri" w:cs="Arial"/>
              <w:i/>
              <w:noProof/>
            </w:rPr>
            <w:t>[insert date started]</w:t>
          </w:r>
          <w:r w:rsidRPr="007F3BE3">
            <w:rPr>
              <w:rFonts w:ascii="Calibri" w:eastAsia="Calibri" w:hAnsi="Calibri" w:cs="Arial"/>
              <w:i/>
            </w:rPr>
            <w:fldChar w:fldCharType="end"/>
          </w:r>
        </w:sdtContent>
      </w:sdt>
      <w:r w:rsidRPr="007F3BE3">
        <w:rPr>
          <w:rFonts w:ascii="Calibri" w:eastAsia="Calibri" w:hAnsi="Calibri" w:cs="Arial"/>
        </w:rPr>
        <w:t xml:space="preserve"> and the current dose is </w:t>
      </w:r>
      <w:sdt>
        <w:sdtPr>
          <w:rPr>
            <w:rFonts w:ascii="Calibri" w:eastAsia="Calibri" w:hAnsi="Calibri" w:cs="Arial"/>
          </w:rPr>
          <w:id w:val="1947653992"/>
          <w:placeholder>
            <w:docPart w:val="96A41C8F59FB473F8779F883F8A7C381"/>
          </w:placeholder>
        </w:sdtPr>
        <w:sdtEndPr>
          <w:rPr>
            <w:i/>
          </w:rPr>
        </w:sdtEndPr>
        <w:sdtContent>
          <w:r w:rsidRPr="007F3BE3">
            <w:rPr>
              <w:rFonts w:ascii="Calibri" w:eastAsia="Calibri" w:hAnsi="Calibri" w:cs="Arial"/>
              <w:i/>
            </w:rPr>
            <w:fldChar w:fldCharType="begin">
              <w:ffData>
                <w:name w:val="Text64"/>
                <w:enabled/>
                <w:calcOnExit w:val="0"/>
                <w:textInput>
                  <w:default w:val="[insert dose and frequency]"/>
                </w:textInput>
              </w:ffData>
            </w:fldChar>
          </w:r>
          <w:r w:rsidRPr="007F3BE3">
            <w:rPr>
              <w:rFonts w:ascii="Calibri" w:eastAsia="Calibri" w:hAnsi="Calibri" w:cs="Arial"/>
              <w:i/>
            </w:rPr>
            <w:instrText xml:space="preserve"> FORMTEXT </w:instrText>
          </w:r>
          <w:r w:rsidRPr="007F3BE3">
            <w:rPr>
              <w:rFonts w:ascii="Calibri" w:eastAsia="Calibri" w:hAnsi="Calibri" w:cs="Arial"/>
              <w:i/>
            </w:rPr>
          </w:r>
          <w:r w:rsidRPr="007F3BE3">
            <w:rPr>
              <w:rFonts w:ascii="Calibri" w:eastAsia="Calibri" w:hAnsi="Calibri" w:cs="Arial"/>
              <w:i/>
            </w:rPr>
            <w:fldChar w:fldCharType="separate"/>
          </w:r>
          <w:r w:rsidRPr="007F3BE3">
            <w:rPr>
              <w:rFonts w:ascii="Calibri" w:eastAsia="Calibri" w:hAnsi="Calibri" w:cs="Arial"/>
              <w:i/>
              <w:noProof/>
            </w:rPr>
            <w:t>[insert dose and frequency]</w:t>
          </w:r>
          <w:r w:rsidRPr="007F3BE3">
            <w:rPr>
              <w:rFonts w:ascii="Calibri" w:eastAsia="Calibri" w:hAnsi="Calibri" w:cs="Arial"/>
              <w:i/>
            </w:rPr>
            <w:fldChar w:fldCharType="end"/>
          </w:r>
        </w:sdtContent>
      </w:sdt>
      <w:r w:rsidRPr="007F3BE3">
        <w:rPr>
          <w:rFonts w:ascii="Calibri" w:eastAsia="Calibri" w:hAnsi="Calibri" w:cs="Arial"/>
        </w:rPr>
        <w:t>.</w:t>
      </w:r>
    </w:p>
    <w:p w14:paraId="044C1F53" w14:textId="77777777" w:rsidR="007F3BE3" w:rsidRPr="007F3BE3" w:rsidRDefault="007F3BE3" w:rsidP="007F3BE3">
      <w:pPr>
        <w:spacing w:before="0" w:line="276" w:lineRule="auto"/>
        <w:rPr>
          <w:rFonts w:ascii="Calibri" w:eastAsia="Times New Roman" w:hAnsi="Calibri" w:cs="Arial"/>
        </w:rPr>
      </w:pPr>
      <w:r w:rsidRPr="007F3BE3">
        <w:rPr>
          <w:rFonts w:ascii="Calibri" w:eastAsia="Times New Roman" w:hAnsi="Calibri" w:cs="Arial"/>
        </w:rPr>
        <w:t xml:space="preserve">If you </w:t>
      </w:r>
      <w:proofErr w:type="gramStart"/>
      <w:r w:rsidRPr="007F3BE3">
        <w:rPr>
          <w:rFonts w:ascii="Calibri" w:eastAsia="Times New Roman" w:hAnsi="Calibri" w:cs="Arial"/>
        </w:rPr>
        <w:t>are in agreement</w:t>
      </w:r>
      <w:proofErr w:type="gramEnd"/>
      <w:r w:rsidRPr="007F3BE3">
        <w:rPr>
          <w:rFonts w:ascii="Calibri" w:eastAsia="Times New Roman" w:hAnsi="Calibri" w:cs="Arial"/>
        </w:rPr>
        <w:t xml:space="preserve">, please undertake monitoring and treatment from </w:t>
      </w:r>
      <w:sdt>
        <w:sdtPr>
          <w:rPr>
            <w:rFonts w:ascii="Calibri" w:eastAsia="Times New Roman" w:hAnsi="Calibri" w:cs="Arial"/>
          </w:rPr>
          <w:id w:val="40725260"/>
          <w:placeholder>
            <w:docPart w:val="96A41C8F59FB473F8779F883F8A7C381"/>
          </w:placeholder>
        </w:sdtPr>
        <w:sdtEndPr>
          <w:rPr>
            <w:i/>
          </w:rPr>
        </w:sdtEndPr>
        <w:sdtContent>
          <w:r w:rsidRPr="007F3BE3">
            <w:rPr>
              <w:rFonts w:ascii="Calibri" w:eastAsia="Times New Roman" w:hAnsi="Calibri" w:cs="Arial"/>
              <w:i/>
            </w:rPr>
            <w:fldChar w:fldCharType="begin">
              <w:ffData>
                <w:name w:val="Text65"/>
                <w:enabled/>
                <w:calcOnExit w:val="0"/>
                <w:textInput>
                  <w:default w:val="[insert date]"/>
                </w:textInput>
              </w:ffData>
            </w:fldChar>
          </w:r>
          <w:r w:rsidRPr="007F3BE3">
            <w:rPr>
              <w:rFonts w:ascii="Calibri" w:eastAsia="Times New Roman" w:hAnsi="Calibri" w:cs="Arial"/>
              <w:i/>
            </w:rPr>
            <w:instrText xml:space="preserve"> FORMTEXT </w:instrText>
          </w:r>
          <w:r w:rsidRPr="007F3BE3">
            <w:rPr>
              <w:rFonts w:ascii="Calibri" w:eastAsia="Times New Roman" w:hAnsi="Calibri" w:cs="Arial"/>
              <w:i/>
            </w:rPr>
          </w:r>
          <w:r w:rsidRPr="007F3BE3">
            <w:rPr>
              <w:rFonts w:ascii="Calibri" w:eastAsia="Times New Roman" w:hAnsi="Calibri" w:cs="Arial"/>
              <w:i/>
            </w:rPr>
            <w:fldChar w:fldCharType="separate"/>
          </w:r>
          <w:r w:rsidRPr="007F3BE3">
            <w:rPr>
              <w:rFonts w:ascii="Calibri" w:eastAsia="Times New Roman" w:hAnsi="Calibri" w:cs="Arial"/>
              <w:i/>
              <w:noProof/>
            </w:rPr>
            <w:t>[insert date]</w:t>
          </w:r>
          <w:r w:rsidRPr="007F3BE3">
            <w:rPr>
              <w:rFonts w:ascii="Calibri" w:eastAsia="Times New Roman" w:hAnsi="Calibri" w:cs="Arial"/>
              <w:i/>
            </w:rPr>
            <w:fldChar w:fldCharType="end"/>
          </w:r>
        </w:sdtContent>
      </w:sdt>
      <w:r w:rsidRPr="007F3BE3">
        <w:rPr>
          <w:rFonts w:ascii="Calibri" w:eastAsia="Times New Roman" w:hAnsi="Calibri" w:cs="Arial"/>
          <w:i/>
        </w:rPr>
        <w:t xml:space="preserve"> </w:t>
      </w:r>
      <w:r w:rsidRPr="007F3BE3">
        <w:rPr>
          <w:rFonts w:ascii="Calibri" w:eastAsia="Times New Roman" w:hAnsi="Calibri" w:cs="Arial"/>
        </w:rPr>
        <w:t>NB: date must be at least 1 month from initiation of treatment.</w:t>
      </w:r>
    </w:p>
    <w:p w14:paraId="775A6E58" w14:textId="77777777" w:rsidR="007F3BE3" w:rsidRPr="007F3BE3" w:rsidRDefault="007F3BE3" w:rsidP="007F3BE3">
      <w:pPr>
        <w:spacing w:before="0" w:line="276" w:lineRule="auto"/>
        <w:rPr>
          <w:rFonts w:ascii="Calibri" w:eastAsia="Times New Roman" w:hAnsi="Calibri" w:cs="Calibri"/>
        </w:rPr>
      </w:pPr>
      <w:r w:rsidRPr="007F3BE3">
        <w:rPr>
          <w:rFonts w:ascii="Calibri" w:eastAsia="Times New Roman" w:hAnsi="Calibri" w:cs="Arial"/>
        </w:rPr>
        <w:t xml:space="preserve">The next blood monitoring is due on </w:t>
      </w:r>
      <w:sdt>
        <w:sdtPr>
          <w:rPr>
            <w:rFonts w:ascii="Calibri" w:eastAsia="Times New Roman" w:hAnsi="Calibri" w:cs="Arial"/>
          </w:rPr>
          <w:id w:val="-298149776"/>
          <w:placeholder>
            <w:docPart w:val="96A41C8F59FB473F8779F883F8A7C381"/>
          </w:placeholder>
        </w:sdtPr>
        <w:sdtEndPr>
          <w:rPr>
            <w:rFonts w:eastAsia="Calibri"/>
            <w:i/>
          </w:rPr>
        </w:sdtEndPr>
        <w:sdtContent>
          <w:r w:rsidRPr="007F3BE3">
            <w:rPr>
              <w:rFonts w:ascii="Calibri" w:eastAsia="Calibri" w:hAnsi="Calibri" w:cs="Arial"/>
              <w:i/>
            </w:rPr>
            <w:fldChar w:fldCharType="begin">
              <w:ffData>
                <w:name w:val="Text63"/>
                <w:enabled/>
                <w:calcOnExit w:val="0"/>
                <w:textInput>
                  <w:default w:val="[insert date]"/>
                </w:textInput>
              </w:ffData>
            </w:fldChar>
          </w:r>
          <w:r w:rsidRPr="007F3BE3">
            <w:rPr>
              <w:rFonts w:ascii="Calibri" w:eastAsia="Calibri" w:hAnsi="Calibri" w:cs="Arial"/>
              <w:i/>
            </w:rPr>
            <w:instrText xml:space="preserve"> FORMTEXT </w:instrText>
          </w:r>
          <w:r w:rsidRPr="007F3BE3">
            <w:rPr>
              <w:rFonts w:ascii="Calibri" w:eastAsia="Calibri" w:hAnsi="Calibri" w:cs="Arial"/>
              <w:i/>
            </w:rPr>
          </w:r>
          <w:r w:rsidRPr="007F3BE3">
            <w:rPr>
              <w:rFonts w:ascii="Calibri" w:eastAsia="Calibri" w:hAnsi="Calibri" w:cs="Arial"/>
              <w:i/>
            </w:rPr>
            <w:fldChar w:fldCharType="separate"/>
          </w:r>
          <w:r w:rsidRPr="007F3BE3">
            <w:rPr>
              <w:rFonts w:ascii="Calibri" w:eastAsia="Calibri" w:hAnsi="Calibri" w:cs="Arial"/>
              <w:i/>
              <w:noProof/>
            </w:rPr>
            <w:t>[insert date]</w:t>
          </w:r>
          <w:r w:rsidRPr="007F3BE3">
            <w:rPr>
              <w:rFonts w:ascii="Calibri" w:eastAsia="Calibri" w:hAnsi="Calibri" w:cs="Arial"/>
              <w:i/>
            </w:rPr>
            <w:fldChar w:fldCharType="end"/>
          </w:r>
        </w:sdtContent>
      </w:sdt>
      <w:r w:rsidRPr="007F3BE3">
        <w:rPr>
          <w:rFonts w:ascii="Calibri" w:eastAsia="Calibri" w:hAnsi="Calibri" w:cs="Arial"/>
          <w:i/>
        </w:rPr>
        <w:t xml:space="preserve"> </w:t>
      </w:r>
      <w:r w:rsidRPr="007F3BE3">
        <w:rPr>
          <w:rFonts w:ascii="Calibri" w:eastAsia="Times New Roman" w:hAnsi="Calibri" w:cs="Arial"/>
        </w:rPr>
        <w:t>and should be continued in line with the shared care guideline.</w:t>
      </w:r>
    </w:p>
    <w:p w14:paraId="634812D6" w14:textId="77777777" w:rsidR="007F3BE3" w:rsidRPr="007F3BE3" w:rsidRDefault="007F3BE3" w:rsidP="007F3BE3">
      <w:pPr>
        <w:spacing w:before="0" w:line="276" w:lineRule="auto"/>
        <w:rPr>
          <w:rFonts w:ascii="Calibri" w:eastAsia="Calibri" w:hAnsi="Calibri" w:cs="Times New Roman"/>
        </w:rPr>
      </w:pPr>
      <w:r w:rsidRPr="007F3BE3">
        <w:rPr>
          <w:rFonts w:ascii="Calibri" w:eastAsia="Times New Roman" w:hAnsi="Calibri" w:cs="Calibri"/>
        </w:rPr>
        <w:t>P</w:t>
      </w:r>
      <w:r w:rsidRPr="007F3BE3">
        <w:rPr>
          <w:rFonts w:ascii="Calibri" w:eastAsia="Calibri" w:hAnsi="Calibri" w:cs="Times New Roman"/>
        </w:rPr>
        <w:t xml:space="preserve">lease could you reply to this request for shared care and initiation of the suggested medication to either accept or decline within 14 days. </w:t>
      </w:r>
    </w:p>
    <w:p w14:paraId="5F079918" w14:textId="20400108" w:rsidR="007F3BE3" w:rsidRPr="007F3BE3" w:rsidRDefault="007F3BE3" w:rsidP="007F3BE3">
      <w:pPr>
        <w:spacing w:before="0" w:after="0" w:line="240" w:lineRule="auto"/>
        <w:rPr>
          <w:rFonts w:ascii="Calibri" w:eastAsia="Times New Roman" w:hAnsi="Calibri" w:cs="Calibri"/>
          <w:i/>
        </w:rPr>
      </w:pPr>
      <w:r w:rsidRPr="007F3BE3">
        <w:rPr>
          <w:rFonts w:ascii="Calibri" w:eastAsia="Times New Roman" w:hAnsi="Calibri" w:cs="Calibri"/>
        </w:rPr>
        <w:t xml:space="preserve">Name: </w:t>
      </w:r>
      <w:sdt>
        <w:sdtPr>
          <w:rPr>
            <w:rFonts w:ascii="Calibri" w:eastAsia="Times New Roman" w:hAnsi="Calibri" w:cs="Calibri"/>
          </w:rPr>
          <w:id w:val="610169189"/>
          <w:placeholder>
            <w:docPart w:val="96A41C8F59FB473F8779F883F8A7C381"/>
          </w:placeholder>
        </w:sdtPr>
        <w:sdtEndPr>
          <w:rPr>
            <w:i/>
          </w:rPr>
        </w:sdtEndPr>
        <w:sdtContent>
          <w:r w:rsidRPr="007F3BE3">
            <w:rPr>
              <w:rFonts w:ascii="Calibri" w:eastAsia="Times New Roman" w:hAnsi="Calibri" w:cs="Calibri"/>
              <w:i/>
            </w:rPr>
            <w:fldChar w:fldCharType="begin">
              <w:ffData>
                <w:name w:val=""/>
                <w:enabled/>
                <w:calcOnExit w:val="0"/>
                <w:textInput>
                  <w:default w:val="[insert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name]</w:t>
          </w:r>
          <w:r w:rsidRPr="007F3BE3">
            <w:rPr>
              <w:rFonts w:ascii="Calibri" w:eastAsia="Times New Roman" w:hAnsi="Calibri" w:cs="Calibri"/>
              <w:i/>
            </w:rPr>
            <w:fldChar w:fldCharType="end"/>
          </w:r>
        </w:sdtContent>
      </w:sdt>
      <w:r w:rsidR="000679D2">
        <w:rPr>
          <w:rFonts w:ascii="Calibri" w:eastAsia="Times New Roman" w:hAnsi="Calibri" w:cs="Calibri"/>
          <w:i/>
        </w:rPr>
        <w:tab/>
      </w:r>
      <w:r w:rsidR="000679D2">
        <w:rPr>
          <w:rFonts w:ascii="Calibri" w:eastAsia="Times New Roman" w:hAnsi="Calibri" w:cs="Calibri"/>
          <w:i/>
        </w:rPr>
        <w:tab/>
      </w:r>
      <w:r w:rsidR="000679D2" w:rsidRPr="000679D2">
        <w:rPr>
          <w:rFonts w:ascii="Calibri" w:eastAsia="Times New Roman" w:hAnsi="Calibri" w:cs="Calibri"/>
          <w:iCs/>
        </w:rPr>
        <w:t xml:space="preserve">Date: </w:t>
      </w:r>
      <w:sdt>
        <w:sdtPr>
          <w:rPr>
            <w:rFonts w:ascii="Calibri" w:eastAsia="Times New Roman" w:hAnsi="Calibri" w:cs="Arial"/>
            <w:iCs/>
          </w:rPr>
          <w:id w:val="-1823499356"/>
          <w:placeholder>
            <w:docPart w:val="1ABAF90796E6447D9BBCE9BB02BFD34B"/>
          </w:placeholder>
        </w:sdtPr>
        <w:sdtEndPr>
          <w:rPr>
            <w:rFonts w:eastAsia="Calibri"/>
            <w:i/>
            <w:iCs w:val="0"/>
          </w:rPr>
        </w:sdtEndPr>
        <w:sdtContent>
          <w:r w:rsidR="000679D2" w:rsidRPr="007F3BE3">
            <w:rPr>
              <w:rFonts w:ascii="Calibri" w:eastAsia="Calibri" w:hAnsi="Calibri" w:cs="Arial"/>
              <w:i/>
            </w:rPr>
            <w:fldChar w:fldCharType="begin">
              <w:ffData>
                <w:name w:val="Text63"/>
                <w:enabled/>
                <w:calcOnExit w:val="0"/>
                <w:textInput>
                  <w:default w:val="[insert date]"/>
                </w:textInput>
              </w:ffData>
            </w:fldChar>
          </w:r>
          <w:r w:rsidR="000679D2" w:rsidRPr="007F3BE3">
            <w:rPr>
              <w:rFonts w:ascii="Calibri" w:eastAsia="Calibri" w:hAnsi="Calibri" w:cs="Arial"/>
              <w:i/>
            </w:rPr>
            <w:instrText xml:space="preserve"> FORMTEXT </w:instrText>
          </w:r>
          <w:r w:rsidR="000679D2" w:rsidRPr="007F3BE3">
            <w:rPr>
              <w:rFonts w:ascii="Calibri" w:eastAsia="Calibri" w:hAnsi="Calibri" w:cs="Arial"/>
              <w:i/>
            </w:rPr>
          </w:r>
          <w:r w:rsidR="000679D2" w:rsidRPr="007F3BE3">
            <w:rPr>
              <w:rFonts w:ascii="Calibri" w:eastAsia="Calibri" w:hAnsi="Calibri" w:cs="Arial"/>
              <w:i/>
            </w:rPr>
            <w:fldChar w:fldCharType="separate"/>
          </w:r>
          <w:r w:rsidR="000679D2" w:rsidRPr="007F3BE3">
            <w:rPr>
              <w:rFonts w:ascii="Calibri" w:eastAsia="Calibri" w:hAnsi="Calibri" w:cs="Arial"/>
              <w:i/>
              <w:noProof/>
            </w:rPr>
            <w:t>[insert date]</w:t>
          </w:r>
          <w:r w:rsidR="000679D2" w:rsidRPr="007F3BE3">
            <w:rPr>
              <w:rFonts w:ascii="Calibri" w:eastAsia="Calibri" w:hAnsi="Calibri" w:cs="Arial"/>
              <w:i/>
            </w:rPr>
            <w:fldChar w:fldCharType="end"/>
          </w:r>
        </w:sdtContent>
      </w:sdt>
    </w:p>
    <w:p w14:paraId="41892980" w14:textId="77777777" w:rsidR="007F3BE3" w:rsidRPr="007F3BE3" w:rsidRDefault="007F3BE3" w:rsidP="007F3BE3">
      <w:pPr>
        <w:spacing w:before="0" w:after="0" w:line="240" w:lineRule="auto"/>
        <w:rPr>
          <w:rFonts w:ascii="Calibri" w:eastAsia="Times New Roman" w:hAnsi="Calibri" w:cs="Calibri"/>
        </w:rPr>
      </w:pPr>
      <w:r w:rsidRPr="007F3BE3">
        <w:rPr>
          <w:rFonts w:ascii="Calibri" w:eastAsia="Times New Roman" w:hAnsi="Calibri" w:cs="Calibri"/>
        </w:rPr>
        <w:t xml:space="preserve">Role and specialty: </w:t>
      </w:r>
      <w:sdt>
        <w:sdtPr>
          <w:rPr>
            <w:rFonts w:ascii="Calibri" w:eastAsia="Times New Roman" w:hAnsi="Calibri" w:cs="Calibri"/>
          </w:rPr>
          <w:id w:val="47578890"/>
          <w:placeholder>
            <w:docPart w:val="96A41C8F59FB473F8779F883F8A7C381"/>
          </w:placeholder>
        </w:sdtPr>
        <w:sdtEndPr>
          <w:rPr>
            <w:i/>
          </w:rPr>
        </w:sdtEndPr>
        <w:sdtContent>
          <w:r w:rsidRPr="007F3BE3">
            <w:rPr>
              <w:rFonts w:ascii="Calibri" w:eastAsia="Times New Roman" w:hAnsi="Calibri" w:cs="Calibri"/>
              <w:i/>
            </w:rPr>
            <w:fldChar w:fldCharType="begin">
              <w:ffData>
                <w:name w:val=""/>
                <w:enabled/>
                <w:calcOnExit w:val="0"/>
                <w:textInput>
                  <w:default w:val="[insert role and specialty]"/>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role and specialty]</w:t>
          </w:r>
          <w:r w:rsidRPr="007F3BE3">
            <w:rPr>
              <w:rFonts w:ascii="Calibri" w:eastAsia="Times New Roman" w:hAnsi="Calibri" w:cs="Calibri"/>
              <w:i/>
            </w:rPr>
            <w:fldChar w:fldCharType="end"/>
          </w:r>
        </w:sdtContent>
      </w:sdt>
    </w:p>
    <w:p w14:paraId="4609F009" w14:textId="77777777" w:rsidR="007F3BE3" w:rsidRPr="007F3BE3" w:rsidRDefault="007F3BE3" w:rsidP="007F3BE3">
      <w:pPr>
        <w:spacing w:before="0" w:after="0" w:line="240" w:lineRule="auto"/>
        <w:rPr>
          <w:rFonts w:ascii="Calibri" w:eastAsia="Times New Roman" w:hAnsi="Calibri" w:cs="Calibri"/>
          <w:i/>
        </w:rPr>
      </w:pPr>
      <w:r w:rsidRPr="007F3BE3">
        <w:rPr>
          <w:rFonts w:ascii="Calibri" w:eastAsia="Times New Roman" w:hAnsi="Calibri" w:cs="Calibri"/>
        </w:rPr>
        <w:t xml:space="preserve">Daytime telephone number: </w:t>
      </w:r>
      <w:sdt>
        <w:sdtPr>
          <w:rPr>
            <w:rFonts w:ascii="Calibri" w:eastAsia="Times New Roman" w:hAnsi="Calibri" w:cs="Calibri"/>
          </w:rPr>
          <w:id w:val="1935869548"/>
          <w:placeholder>
            <w:docPart w:val="96A41C8F59FB473F8779F883F8A7C381"/>
          </w:placeholder>
        </w:sdtPr>
        <w:sdtEndPr>
          <w:rPr>
            <w:i/>
          </w:rPr>
        </w:sdtEndPr>
        <w:sdtContent>
          <w:r w:rsidRPr="007F3BE3">
            <w:rPr>
              <w:rFonts w:ascii="Calibri" w:eastAsia="Times New Roman" w:hAnsi="Calibri" w:cs="Calibri"/>
              <w:i/>
            </w:rPr>
            <w:fldChar w:fldCharType="begin">
              <w:ffData>
                <w:name w:val=""/>
                <w:enabled/>
                <w:calcOnExit w:val="0"/>
                <w:textInput>
                  <w:default w:val="[insert daytime telephone number]"/>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daytime telephone number]</w:t>
          </w:r>
          <w:r w:rsidRPr="007F3BE3">
            <w:rPr>
              <w:rFonts w:ascii="Calibri" w:eastAsia="Times New Roman" w:hAnsi="Calibri" w:cs="Calibri"/>
              <w:i/>
            </w:rPr>
            <w:fldChar w:fldCharType="end"/>
          </w:r>
        </w:sdtContent>
      </w:sdt>
    </w:p>
    <w:p w14:paraId="064A6FA0" w14:textId="77777777" w:rsidR="007F3BE3" w:rsidRPr="007F3BE3" w:rsidRDefault="007F3BE3" w:rsidP="007F3BE3">
      <w:pPr>
        <w:spacing w:before="0" w:after="0" w:line="240" w:lineRule="auto"/>
        <w:rPr>
          <w:rFonts w:ascii="Calibri" w:eastAsia="Times New Roman" w:hAnsi="Calibri" w:cs="Calibri"/>
          <w:i/>
        </w:rPr>
      </w:pPr>
      <w:r w:rsidRPr="007F3BE3">
        <w:rPr>
          <w:rFonts w:ascii="Calibri" w:eastAsia="Times New Roman" w:hAnsi="Calibri" w:cs="Calibri"/>
        </w:rPr>
        <w:t xml:space="preserve">Email address: </w:t>
      </w:r>
      <w:sdt>
        <w:sdtPr>
          <w:rPr>
            <w:rFonts w:ascii="Calibri" w:eastAsia="Times New Roman" w:hAnsi="Calibri" w:cs="Calibri"/>
          </w:rPr>
          <w:id w:val="-377013395"/>
          <w:placeholder>
            <w:docPart w:val="96A41C8F59FB473F8779F883F8A7C381"/>
          </w:placeholder>
        </w:sdtPr>
        <w:sdtEndPr>
          <w:rPr>
            <w:i/>
          </w:rPr>
        </w:sdtEndPr>
        <w:sdtContent>
          <w:r w:rsidRPr="007F3BE3">
            <w:rPr>
              <w:rFonts w:ascii="Calibri" w:eastAsia="Times New Roman" w:hAnsi="Calibri" w:cs="Calibri"/>
              <w:i/>
            </w:rPr>
            <w:fldChar w:fldCharType="begin">
              <w:ffData>
                <w:name w:val=""/>
                <w:enabled/>
                <w:calcOnExit w:val="0"/>
                <w:textInput>
                  <w:default w:val="[insert email address]"/>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email address]</w:t>
          </w:r>
          <w:r w:rsidRPr="007F3BE3">
            <w:rPr>
              <w:rFonts w:ascii="Calibri" w:eastAsia="Times New Roman" w:hAnsi="Calibri" w:cs="Calibri"/>
              <w:i/>
            </w:rPr>
            <w:fldChar w:fldCharType="end"/>
          </w:r>
        </w:sdtContent>
      </w:sdt>
    </w:p>
    <w:p w14:paraId="70A9053E" w14:textId="77777777" w:rsidR="007F3BE3" w:rsidRPr="007F3BE3" w:rsidRDefault="007F3BE3" w:rsidP="007F3BE3">
      <w:pPr>
        <w:spacing w:before="0" w:after="0" w:line="240" w:lineRule="auto"/>
        <w:rPr>
          <w:rFonts w:ascii="Calibri" w:eastAsia="Times New Roman" w:hAnsi="Calibri" w:cs="Calibri"/>
        </w:rPr>
      </w:pPr>
      <w:r w:rsidRPr="007F3BE3">
        <w:rPr>
          <w:rFonts w:ascii="Calibri" w:eastAsia="Times New Roman" w:hAnsi="Calibri" w:cs="Calibri"/>
        </w:rPr>
        <w:t xml:space="preserve">Alternative contact: </w:t>
      </w:r>
      <w:sdt>
        <w:sdtPr>
          <w:rPr>
            <w:rFonts w:ascii="Calibri" w:eastAsia="Times New Roman" w:hAnsi="Calibri" w:cs="Calibri"/>
          </w:rPr>
          <w:id w:val="-41905389"/>
          <w:placeholder>
            <w:docPart w:val="96A41C8F59FB473F8779F883F8A7C381"/>
          </w:placeholder>
        </w:sdtPr>
        <w:sdtEndPr>
          <w:rPr>
            <w:i/>
          </w:rPr>
        </w:sdtEndPr>
        <w:sdtContent>
          <w:r w:rsidRPr="007F3BE3">
            <w:rPr>
              <w:rFonts w:ascii="Calibri" w:eastAsia="Times New Roman" w:hAnsi="Calibri" w:cs="Calibri"/>
              <w:i/>
            </w:rPr>
            <w:fldChar w:fldCharType="begin">
              <w:ffData>
                <w:name w:val=""/>
                <w:enabled/>
                <w:calcOnExit w:val="0"/>
                <w:textInput>
                  <w:default w:val="[insert contact information, e.g. for clinic or specialist nurs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contact information, e.g. for clinic or specialist nurse]</w:t>
          </w:r>
          <w:r w:rsidRPr="007F3BE3">
            <w:rPr>
              <w:rFonts w:ascii="Calibri" w:eastAsia="Times New Roman" w:hAnsi="Calibri" w:cs="Calibri"/>
              <w:i/>
            </w:rPr>
            <w:fldChar w:fldCharType="end"/>
          </w:r>
        </w:sdtContent>
      </w:sdt>
    </w:p>
    <w:p w14:paraId="1F3B1D9A" w14:textId="77777777" w:rsidR="007F3BE3" w:rsidRPr="007F3BE3" w:rsidRDefault="007F3BE3" w:rsidP="007F3BE3">
      <w:pPr>
        <w:spacing w:before="0" w:line="276" w:lineRule="auto"/>
        <w:rPr>
          <w:rFonts w:ascii="Calibri" w:eastAsia="Calibri" w:hAnsi="Calibri" w:cs="Times New Roman"/>
        </w:rPr>
      </w:pPr>
      <w:r w:rsidRPr="007F3BE3">
        <w:rPr>
          <w:rFonts w:ascii="Calibri" w:eastAsia="Times New Roman" w:hAnsi="Calibri" w:cs="Calibri"/>
        </w:rPr>
        <w:t xml:space="preserve">Out of hours contact details: </w:t>
      </w:r>
      <w:sdt>
        <w:sdtPr>
          <w:rPr>
            <w:rFonts w:ascii="Calibri" w:eastAsia="Times New Roman" w:hAnsi="Calibri" w:cs="Calibri"/>
          </w:rPr>
          <w:id w:val="-304540256"/>
          <w:placeholder>
            <w:docPart w:val="96A41C8F59FB473F8779F883F8A7C381"/>
          </w:placeholder>
        </w:sdtPr>
        <w:sdtEndPr>
          <w:rPr>
            <w:i/>
          </w:rPr>
        </w:sdtEndPr>
        <w:sdtContent>
          <w:r w:rsidRPr="007F3BE3">
            <w:rPr>
              <w:rFonts w:ascii="Calibri" w:eastAsia="Times New Roman" w:hAnsi="Calibri" w:cs="Calibri"/>
              <w:i/>
            </w:rPr>
            <w:fldChar w:fldCharType="begin">
              <w:ffData>
                <w:name w:val=""/>
                <w:enabled/>
                <w:calcOnExit w:val="0"/>
                <w:textInput>
                  <w:default w:val="[insert contact information, e.g. for duty doctor]"/>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contact information, e.g. for duty doctor]</w:t>
          </w:r>
          <w:r w:rsidRPr="007F3BE3">
            <w:rPr>
              <w:rFonts w:ascii="Calibri" w:eastAsia="Times New Roman" w:hAnsi="Calibri" w:cs="Calibri"/>
              <w:i/>
            </w:rPr>
            <w:fldChar w:fldCharType="end"/>
          </w:r>
        </w:sdtContent>
      </w:sdt>
    </w:p>
    <w:p w14:paraId="39EB5D02" w14:textId="77777777" w:rsidR="007F3BE3" w:rsidRPr="007F3BE3" w:rsidRDefault="007F3BE3" w:rsidP="007F3BE3">
      <w:pPr>
        <w:spacing w:before="0" w:line="276" w:lineRule="auto"/>
        <w:rPr>
          <w:rFonts w:ascii="Calibri" w:eastAsia="Calibri" w:hAnsi="Calibri" w:cs="Times New Roman"/>
          <w:b/>
          <w:bCs/>
        </w:rPr>
      </w:pPr>
      <w:r w:rsidRPr="007F3BE3">
        <w:rPr>
          <w:rFonts w:ascii="Calibri" w:eastAsia="Calibri" w:hAnsi="Calibri" w:cs="Calibri"/>
        </w:rPr>
        <w:br w:type="page"/>
      </w:r>
      <w:r w:rsidRPr="007F3BE3">
        <w:rPr>
          <w:rFonts w:ascii="Calibri" w:eastAsia="Calibri" w:hAnsi="Calibri" w:cs="Times New Roman"/>
          <w:b/>
          <w:bCs/>
        </w:rPr>
        <w:lastRenderedPageBreak/>
        <w:t>Appendix 2: Shared Care Agreement Letter (Primary Care Prescriber to Specialist)</w:t>
      </w:r>
    </w:p>
    <w:p w14:paraId="155BFB2F" w14:textId="77777777" w:rsidR="007F3BE3" w:rsidRPr="007F3BE3" w:rsidRDefault="007F3BE3" w:rsidP="007F3BE3">
      <w:pPr>
        <w:spacing w:before="0" w:after="0" w:line="276" w:lineRule="auto"/>
        <w:rPr>
          <w:rFonts w:ascii="Calibri" w:eastAsia="Times New Roman" w:hAnsi="Calibri" w:cs="Calibri"/>
          <w:b/>
          <w:bCs/>
          <w:sz w:val="32"/>
          <w:szCs w:val="20"/>
        </w:rPr>
      </w:pPr>
    </w:p>
    <w:p w14:paraId="04BFEB4E" w14:textId="77777777" w:rsidR="007F3BE3" w:rsidRPr="007F3BE3" w:rsidRDefault="007F3BE3" w:rsidP="007F3BE3">
      <w:pPr>
        <w:spacing w:before="0" w:after="200" w:line="276" w:lineRule="auto"/>
        <w:rPr>
          <w:rFonts w:ascii="Calibri" w:eastAsia="Calibri" w:hAnsi="Calibri" w:cs="Times New Roman"/>
          <w:b/>
        </w:rPr>
      </w:pPr>
      <w:r w:rsidRPr="007F3BE3">
        <w:rPr>
          <w:rFonts w:ascii="Calibri" w:eastAsia="Calibri" w:hAnsi="Calibri" w:cs="Times New Roman"/>
          <w:b/>
        </w:rPr>
        <w:t>Primary Care Prescriber Response</w:t>
      </w:r>
    </w:p>
    <w:p w14:paraId="51B2CFC6" w14:textId="77777777" w:rsidR="007F3BE3" w:rsidRPr="007F3BE3" w:rsidRDefault="007F3BE3" w:rsidP="007F3BE3">
      <w:pPr>
        <w:spacing w:before="0" w:after="0" w:line="276" w:lineRule="auto"/>
        <w:rPr>
          <w:rFonts w:ascii="Calibri" w:eastAsia="Times New Roman" w:hAnsi="Calibri" w:cs="Calibri"/>
        </w:rPr>
      </w:pPr>
      <w:r w:rsidRPr="007F3BE3">
        <w:rPr>
          <w:rFonts w:ascii="Calibri" w:eastAsia="Times New Roman" w:hAnsi="Calibri" w:cs="Calibri"/>
        </w:rPr>
        <w:t>Dear</w:t>
      </w:r>
      <w:r w:rsidRPr="007F3BE3">
        <w:rPr>
          <w:rFonts w:ascii="Calibri" w:eastAsia="Times New Roman" w:hAnsi="Calibri" w:cs="Calibri"/>
        </w:rPr>
        <w:tab/>
      </w:r>
      <w:r w:rsidRPr="007F3BE3">
        <w:rPr>
          <w:rFonts w:ascii="Calibri" w:eastAsia="Times New Roman" w:hAnsi="Calibri" w:cs="Calibri"/>
        </w:rPr>
        <w:tab/>
        <w:t xml:space="preserve"> </w:t>
      </w:r>
      <w:sdt>
        <w:sdtPr>
          <w:rPr>
            <w:rFonts w:ascii="Calibri" w:eastAsia="Times New Roman" w:hAnsi="Calibri" w:cs="Calibri"/>
          </w:rPr>
          <w:id w:val="389846664"/>
          <w:placeholder>
            <w:docPart w:val="96A41C8F59FB473F8779F883F8A7C381"/>
          </w:placeholder>
        </w:sdtPr>
        <w:sdtEndPr>
          <w:rPr>
            <w:i/>
          </w:rPr>
        </w:sdtEndPr>
        <w:sdtContent>
          <w:r w:rsidRPr="007F3BE3">
            <w:rPr>
              <w:rFonts w:ascii="Calibri" w:eastAsia="Times New Roman" w:hAnsi="Calibri" w:cs="Calibri"/>
              <w:i/>
            </w:rPr>
            <w:fldChar w:fldCharType="begin">
              <w:ffData>
                <w:name w:val="Text69"/>
                <w:enabled/>
                <w:calcOnExit w:val="0"/>
                <w:textInput>
                  <w:default w:val="[insert Doctor's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Doctor's name]</w:t>
          </w:r>
          <w:r w:rsidRPr="007F3BE3">
            <w:rPr>
              <w:rFonts w:ascii="Calibri" w:eastAsia="Times New Roman" w:hAnsi="Calibri" w:cs="Calibri"/>
              <w:i/>
            </w:rPr>
            <w:fldChar w:fldCharType="end"/>
          </w:r>
        </w:sdtContent>
      </w:sdt>
    </w:p>
    <w:p w14:paraId="53D9C0DC" w14:textId="77777777" w:rsidR="007F3BE3" w:rsidRPr="007F3BE3" w:rsidRDefault="007F3BE3" w:rsidP="007F3BE3">
      <w:pPr>
        <w:spacing w:before="0" w:after="0" w:line="276" w:lineRule="auto"/>
        <w:rPr>
          <w:rFonts w:ascii="Calibri" w:eastAsia="Times New Roman" w:hAnsi="Calibri" w:cs="Calibri"/>
        </w:rPr>
      </w:pPr>
    </w:p>
    <w:p w14:paraId="63C8A145" w14:textId="77777777" w:rsidR="007F3BE3" w:rsidRPr="007F3BE3" w:rsidRDefault="007F3BE3" w:rsidP="007F3BE3">
      <w:pPr>
        <w:spacing w:before="0" w:after="0" w:line="276" w:lineRule="auto"/>
        <w:rPr>
          <w:rFonts w:ascii="Calibri" w:eastAsia="Times New Roman" w:hAnsi="Calibri" w:cs="Calibri"/>
          <w:i/>
        </w:rPr>
      </w:pPr>
      <w:r w:rsidRPr="007F3BE3">
        <w:rPr>
          <w:rFonts w:ascii="Calibri" w:eastAsia="Times New Roman" w:hAnsi="Calibri" w:cs="Calibri"/>
        </w:rPr>
        <w:t xml:space="preserve">Patient </w:t>
      </w:r>
      <w:r w:rsidRPr="007F3BE3">
        <w:rPr>
          <w:rFonts w:ascii="Calibri" w:eastAsia="Times New Roman" w:hAnsi="Calibri" w:cs="Calibri"/>
        </w:rPr>
        <w:tab/>
      </w:r>
      <w:r w:rsidRPr="007F3BE3">
        <w:rPr>
          <w:rFonts w:ascii="Calibri" w:eastAsia="Times New Roman" w:hAnsi="Calibri" w:cs="Calibri"/>
        </w:rPr>
        <w:tab/>
      </w:r>
      <w:sdt>
        <w:sdtPr>
          <w:rPr>
            <w:rFonts w:ascii="Calibri" w:eastAsia="Times New Roman" w:hAnsi="Calibri" w:cs="Calibri"/>
          </w:rPr>
          <w:id w:val="1970389273"/>
          <w:placeholder>
            <w:docPart w:val="96A41C8F59FB473F8779F883F8A7C381"/>
          </w:placeholder>
        </w:sdtPr>
        <w:sdtEndPr>
          <w:rPr>
            <w:i/>
          </w:rPr>
        </w:sdtEndPr>
        <w:sdtContent>
          <w:r w:rsidRPr="007F3BE3">
            <w:rPr>
              <w:rFonts w:ascii="Calibri" w:eastAsia="Times New Roman" w:hAnsi="Calibri" w:cs="Calibri"/>
              <w:i/>
            </w:rPr>
            <w:fldChar w:fldCharType="begin">
              <w:ffData>
                <w:name w:val="Text70"/>
                <w:enabled/>
                <w:calcOnExit w:val="0"/>
                <w:textInput>
                  <w:default w:val="[insert Patient's name]"/>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Patient's name]</w:t>
          </w:r>
          <w:r w:rsidRPr="007F3BE3">
            <w:rPr>
              <w:rFonts w:ascii="Calibri" w:eastAsia="Times New Roman" w:hAnsi="Calibri" w:cs="Calibri"/>
              <w:i/>
            </w:rPr>
            <w:fldChar w:fldCharType="end"/>
          </w:r>
        </w:sdtContent>
      </w:sdt>
    </w:p>
    <w:p w14:paraId="22DFBCBE" w14:textId="77777777" w:rsidR="007F3BE3" w:rsidRPr="007F3BE3" w:rsidRDefault="007F3BE3" w:rsidP="007F3BE3">
      <w:pPr>
        <w:spacing w:before="0" w:after="0" w:line="276" w:lineRule="auto"/>
        <w:rPr>
          <w:rFonts w:ascii="Calibri" w:eastAsia="Times New Roman" w:hAnsi="Calibri" w:cs="Calibri"/>
          <w:i/>
        </w:rPr>
      </w:pPr>
    </w:p>
    <w:p w14:paraId="7C589558" w14:textId="77777777" w:rsidR="007F3BE3" w:rsidRPr="007F3BE3" w:rsidRDefault="007F3BE3" w:rsidP="007F3BE3">
      <w:pPr>
        <w:spacing w:before="0" w:after="0" w:line="276" w:lineRule="auto"/>
        <w:rPr>
          <w:rFonts w:ascii="Calibri" w:eastAsia="Times New Roman" w:hAnsi="Calibri" w:cs="Calibri"/>
          <w:iCs/>
        </w:rPr>
      </w:pPr>
      <w:r w:rsidRPr="007F3BE3">
        <w:rPr>
          <w:rFonts w:ascii="Calibri" w:eastAsia="Times New Roman" w:hAnsi="Calibri" w:cs="Calibri"/>
        </w:rPr>
        <w:t>NHS Number</w:t>
      </w:r>
      <w:r w:rsidRPr="007F3BE3">
        <w:rPr>
          <w:rFonts w:ascii="Calibri" w:eastAsia="Times New Roman" w:hAnsi="Calibri" w:cs="Calibri"/>
        </w:rPr>
        <w:tab/>
      </w:r>
      <w:sdt>
        <w:sdtPr>
          <w:rPr>
            <w:rFonts w:ascii="Calibri" w:eastAsia="Times New Roman" w:hAnsi="Calibri" w:cs="Calibri"/>
          </w:rPr>
          <w:id w:val="502555868"/>
          <w:placeholder>
            <w:docPart w:val="96A41C8F59FB473F8779F883F8A7C381"/>
          </w:placeholder>
        </w:sdtPr>
        <w:sdtEndPr>
          <w:rPr>
            <w:i/>
          </w:rPr>
        </w:sdtEndPr>
        <w:sdtContent>
          <w:r w:rsidRPr="007F3BE3">
            <w:rPr>
              <w:rFonts w:ascii="Calibri" w:eastAsia="Times New Roman" w:hAnsi="Calibri" w:cs="Calibri"/>
              <w:i/>
            </w:rPr>
            <w:fldChar w:fldCharType="begin">
              <w:ffData>
                <w:name w:val=""/>
                <w:enabled/>
                <w:calcOnExit w:val="0"/>
                <w:textInput>
                  <w:default w:val="[insert NHS Number]"/>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NHS Number]</w:t>
          </w:r>
          <w:r w:rsidRPr="007F3BE3">
            <w:rPr>
              <w:rFonts w:ascii="Calibri" w:eastAsia="Times New Roman" w:hAnsi="Calibri" w:cs="Calibri"/>
              <w:i/>
            </w:rPr>
            <w:fldChar w:fldCharType="end"/>
          </w:r>
        </w:sdtContent>
      </w:sdt>
    </w:p>
    <w:p w14:paraId="6D664661" w14:textId="77777777" w:rsidR="007F3BE3" w:rsidRPr="007F3BE3" w:rsidRDefault="007F3BE3" w:rsidP="007F3BE3">
      <w:pPr>
        <w:spacing w:before="0" w:after="0" w:line="276" w:lineRule="auto"/>
        <w:rPr>
          <w:rFonts w:ascii="Calibri" w:eastAsia="Times New Roman" w:hAnsi="Calibri" w:cs="Calibri"/>
        </w:rPr>
      </w:pPr>
    </w:p>
    <w:p w14:paraId="07A6E95C" w14:textId="77777777" w:rsidR="007F3BE3" w:rsidRPr="007F3BE3" w:rsidRDefault="007F3BE3" w:rsidP="007F3BE3">
      <w:pPr>
        <w:spacing w:before="0" w:after="0" w:line="276" w:lineRule="auto"/>
        <w:rPr>
          <w:rFonts w:ascii="Calibri" w:eastAsia="Times New Roman" w:hAnsi="Calibri" w:cs="Calibri"/>
          <w:i/>
          <w:iCs/>
        </w:rPr>
      </w:pPr>
      <w:r w:rsidRPr="007F3BE3">
        <w:rPr>
          <w:rFonts w:ascii="Calibri" w:eastAsia="Times New Roman" w:hAnsi="Calibri" w:cs="Calibri"/>
        </w:rPr>
        <w:t>Identifier</w:t>
      </w:r>
      <w:r w:rsidRPr="007F3BE3">
        <w:rPr>
          <w:rFonts w:ascii="Calibri" w:eastAsia="Times New Roman" w:hAnsi="Calibri" w:cs="Calibri"/>
        </w:rPr>
        <w:tab/>
      </w:r>
      <w:sdt>
        <w:sdtPr>
          <w:rPr>
            <w:rFonts w:ascii="Calibri" w:eastAsia="Times New Roman" w:hAnsi="Calibri" w:cs="Calibri"/>
          </w:rPr>
          <w:id w:val="169451687"/>
          <w:placeholder>
            <w:docPart w:val="96A41C8F59FB473F8779F883F8A7C381"/>
          </w:placeholder>
        </w:sdtPr>
        <w:sdtEndPr>
          <w:rPr>
            <w:i/>
          </w:rPr>
        </w:sdtEndPr>
        <w:sdtContent>
          <w:sdt>
            <w:sdtPr>
              <w:rPr>
                <w:rFonts w:ascii="Calibri" w:eastAsia="Times New Roman" w:hAnsi="Calibri" w:cs="Calibri"/>
              </w:rPr>
              <w:id w:val="-1150130461"/>
              <w:placeholder>
                <w:docPart w:val="96A41C8F59FB473F8779F883F8A7C381"/>
              </w:placeholder>
            </w:sdtPr>
            <w:sdtEndPr>
              <w:rPr>
                <w:i/>
              </w:rPr>
            </w:sdtEndPr>
            <w:sdtContent>
              <w:r w:rsidRPr="007F3BE3">
                <w:rPr>
                  <w:rFonts w:ascii="Calibri" w:eastAsia="Times New Roman" w:hAnsi="Calibri" w:cs="Calibri"/>
                  <w:i/>
                </w:rPr>
                <w:fldChar w:fldCharType="begin">
                  <w:ffData>
                    <w:name w:val="Text71"/>
                    <w:enabled/>
                    <w:calcOnExit w:val="0"/>
                    <w:textInput>
                      <w:default w:val="[insert patient's date of birth and/oraddress]"/>
                    </w:textInput>
                  </w:ffData>
                </w:fldChar>
              </w:r>
              <w:r w:rsidRPr="007F3BE3">
                <w:rPr>
                  <w:rFonts w:ascii="Calibri" w:eastAsia="Times New Roman" w:hAnsi="Calibri" w:cs="Calibri"/>
                  <w:i/>
                </w:rPr>
                <w:instrText xml:space="preserve"> FORMTEXT </w:instrText>
              </w:r>
              <w:r w:rsidRPr="007F3BE3">
                <w:rPr>
                  <w:rFonts w:ascii="Calibri" w:eastAsia="Times New Roman" w:hAnsi="Calibri" w:cs="Calibri"/>
                  <w:i/>
                </w:rPr>
              </w:r>
              <w:r w:rsidRPr="007F3BE3">
                <w:rPr>
                  <w:rFonts w:ascii="Calibri" w:eastAsia="Times New Roman" w:hAnsi="Calibri" w:cs="Calibri"/>
                  <w:i/>
                </w:rPr>
                <w:fldChar w:fldCharType="separate"/>
              </w:r>
              <w:r w:rsidRPr="007F3BE3">
                <w:rPr>
                  <w:rFonts w:ascii="Calibri" w:eastAsia="Times New Roman" w:hAnsi="Calibri" w:cs="Calibri"/>
                  <w:i/>
                  <w:noProof/>
                </w:rPr>
                <w:t>[insert patient's date of birth and/oraddress]</w:t>
              </w:r>
              <w:r w:rsidRPr="007F3BE3">
                <w:rPr>
                  <w:rFonts w:ascii="Calibri" w:eastAsia="Times New Roman" w:hAnsi="Calibri" w:cs="Calibri"/>
                  <w:i/>
                </w:rPr>
                <w:fldChar w:fldCharType="end"/>
              </w:r>
            </w:sdtContent>
          </w:sdt>
        </w:sdtContent>
      </w:sdt>
    </w:p>
    <w:p w14:paraId="2953141D" w14:textId="77777777" w:rsidR="007F3BE3" w:rsidRPr="007F3BE3" w:rsidRDefault="007F3BE3" w:rsidP="007F3BE3">
      <w:pPr>
        <w:spacing w:before="0" w:after="0" w:line="276" w:lineRule="auto"/>
        <w:rPr>
          <w:rFonts w:ascii="Calibri" w:eastAsia="Times New Roman" w:hAnsi="Calibri" w:cs="Calibri"/>
          <w:i/>
          <w:iCs/>
        </w:rPr>
      </w:pPr>
    </w:p>
    <w:p w14:paraId="73375E05" w14:textId="77777777" w:rsidR="007F3BE3" w:rsidRPr="007F3BE3" w:rsidRDefault="007F3BE3" w:rsidP="007F3BE3">
      <w:pPr>
        <w:spacing w:before="0" w:after="0" w:line="276" w:lineRule="auto"/>
        <w:rPr>
          <w:rFonts w:ascii="Calibri" w:eastAsia="Times New Roman" w:hAnsi="Calibri" w:cs="Calibri"/>
        </w:rPr>
      </w:pPr>
    </w:p>
    <w:p w14:paraId="2E1EDC94" w14:textId="77777777" w:rsidR="007F3BE3" w:rsidRPr="007F3BE3" w:rsidRDefault="007F3BE3" w:rsidP="007F3BE3">
      <w:pPr>
        <w:spacing w:before="0" w:after="0" w:line="276" w:lineRule="auto"/>
        <w:rPr>
          <w:rFonts w:ascii="Calibri" w:eastAsia="Times New Roman" w:hAnsi="Calibri" w:cs="Calibri"/>
        </w:rPr>
      </w:pPr>
      <w:r w:rsidRPr="007F3BE3">
        <w:rPr>
          <w:rFonts w:ascii="Calibri" w:eastAsia="Times New Roman" w:hAnsi="Calibri" w:cs="Calibri"/>
        </w:rPr>
        <w:t>Thank you for your request for me to accept prescribing responsibility for this patient under a shared care agreement and to provide the following treatment</w:t>
      </w:r>
    </w:p>
    <w:p w14:paraId="7100EFDB" w14:textId="77777777" w:rsidR="007F3BE3" w:rsidRPr="007F3BE3" w:rsidRDefault="007F3BE3" w:rsidP="007F3BE3">
      <w:pPr>
        <w:spacing w:before="0" w:after="0" w:line="276" w:lineRule="auto"/>
        <w:rPr>
          <w:rFonts w:ascii="Calibri" w:eastAsia="Times New Roman" w:hAnsi="Calibri" w:cs="Calibri"/>
        </w:rPr>
      </w:pPr>
    </w:p>
    <w:tbl>
      <w:tblPr>
        <w:tblStyle w:val="TableGrid"/>
        <w:tblW w:w="0" w:type="auto"/>
        <w:tblLook w:val="04A0" w:firstRow="1" w:lastRow="0" w:firstColumn="1" w:lastColumn="0" w:noHBand="0" w:noVBand="1"/>
      </w:tblPr>
      <w:tblGrid>
        <w:gridCol w:w="3320"/>
        <w:gridCol w:w="3321"/>
        <w:gridCol w:w="3321"/>
      </w:tblGrid>
      <w:tr w:rsidR="007F3BE3" w:rsidRPr="007F3BE3" w14:paraId="41947CCB" w14:textId="77777777" w:rsidTr="007F3BE3">
        <w:tc>
          <w:tcPr>
            <w:tcW w:w="3320" w:type="dxa"/>
            <w:shd w:val="clear" w:color="auto" w:fill="D9D9D9"/>
          </w:tcPr>
          <w:p w14:paraId="4BFE9972" w14:textId="77777777" w:rsidR="007F3BE3" w:rsidRPr="007F3BE3" w:rsidRDefault="007F3BE3" w:rsidP="007F3BE3">
            <w:pPr>
              <w:spacing w:before="0" w:after="0" w:line="276" w:lineRule="auto"/>
              <w:jc w:val="center"/>
              <w:rPr>
                <w:rFonts w:ascii="Calibri" w:eastAsia="Times New Roman" w:hAnsi="Calibri" w:cs="Calibri"/>
              </w:rPr>
            </w:pPr>
            <w:r w:rsidRPr="007F3BE3">
              <w:rPr>
                <w:rFonts w:ascii="Calibri" w:eastAsia="Times New Roman" w:hAnsi="Calibri" w:cs="Calibri"/>
              </w:rPr>
              <w:t>Medicine</w:t>
            </w:r>
          </w:p>
        </w:tc>
        <w:tc>
          <w:tcPr>
            <w:tcW w:w="3321" w:type="dxa"/>
            <w:shd w:val="clear" w:color="auto" w:fill="D9D9D9"/>
          </w:tcPr>
          <w:p w14:paraId="0151920B" w14:textId="77777777" w:rsidR="007F3BE3" w:rsidRPr="007F3BE3" w:rsidRDefault="007F3BE3" w:rsidP="007F3BE3">
            <w:pPr>
              <w:spacing w:before="0" w:after="0" w:line="276" w:lineRule="auto"/>
              <w:jc w:val="center"/>
              <w:rPr>
                <w:rFonts w:ascii="Calibri" w:eastAsia="Times New Roman" w:hAnsi="Calibri" w:cs="Calibri"/>
              </w:rPr>
            </w:pPr>
            <w:r w:rsidRPr="007F3BE3">
              <w:rPr>
                <w:rFonts w:ascii="Calibri" w:eastAsia="Times New Roman" w:hAnsi="Calibri" w:cs="Calibri"/>
              </w:rPr>
              <w:t>Route</w:t>
            </w:r>
          </w:p>
        </w:tc>
        <w:tc>
          <w:tcPr>
            <w:tcW w:w="3321" w:type="dxa"/>
            <w:shd w:val="clear" w:color="auto" w:fill="D9D9D9"/>
          </w:tcPr>
          <w:p w14:paraId="315C6B7E" w14:textId="77777777" w:rsidR="007F3BE3" w:rsidRPr="007F3BE3" w:rsidRDefault="007F3BE3" w:rsidP="007F3BE3">
            <w:pPr>
              <w:spacing w:before="0" w:after="0" w:line="276" w:lineRule="auto"/>
              <w:jc w:val="center"/>
              <w:rPr>
                <w:rFonts w:ascii="Calibri" w:eastAsia="Times New Roman" w:hAnsi="Calibri" w:cs="Calibri"/>
              </w:rPr>
            </w:pPr>
            <w:r w:rsidRPr="007F3BE3">
              <w:rPr>
                <w:rFonts w:ascii="Calibri" w:eastAsia="Times New Roman" w:hAnsi="Calibri" w:cs="Calibri"/>
              </w:rPr>
              <w:t>Dose &amp; frequency</w:t>
            </w:r>
          </w:p>
        </w:tc>
      </w:tr>
      <w:tr w:rsidR="007F3BE3" w:rsidRPr="007F3BE3" w14:paraId="041180F0" w14:textId="77777777" w:rsidTr="00686FCE">
        <w:sdt>
          <w:sdtPr>
            <w:rPr>
              <w:rFonts w:ascii="Calibri" w:eastAsia="Times New Roman" w:hAnsi="Calibri" w:cs="Calibri"/>
            </w:rPr>
            <w:id w:val="1782688184"/>
            <w:placeholder>
              <w:docPart w:val="96A41C8F59FB473F8779F883F8A7C381"/>
            </w:placeholder>
            <w:showingPlcHdr/>
          </w:sdtPr>
          <w:sdtContent>
            <w:tc>
              <w:tcPr>
                <w:tcW w:w="3320" w:type="dxa"/>
              </w:tcPr>
              <w:p w14:paraId="788449AD" w14:textId="77777777" w:rsidR="007F3BE3" w:rsidRPr="007F3BE3" w:rsidRDefault="007F3BE3" w:rsidP="007F3BE3">
                <w:pPr>
                  <w:spacing w:before="0" w:after="0" w:line="276" w:lineRule="auto"/>
                  <w:rPr>
                    <w:rFonts w:ascii="Calibri" w:eastAsia="Times New Roman" w:hAnsi="Calibri" w:cs="Calibri"/>
                  </w:rPr>
                </w:pPr>
                <w:r w:rsidRPr="007F3BE3">
                  <w:rPr>
                    <w:rFonts w:ascii="Calibri" w:eastAsia="Calibri" w:hAnsi="Calibri" w:cs="Times New Roman"/>
                    <w:color w:val="808080"/>
                  </w:rPr>
                  <w:t>Click or tap here to enter text.</w:t>
                </w:r>
              </w:p>
            </w:tc>
          </w:sdtContent>
        </w:sdt>
        <w:sdt>
          <w:sdtPr>
            <w:rPr>
              <w:rFonts w:ascii="Calibri" w:eastAsia="Times New Roman" w:hAnsi="Calibri" w:cs="Calibri"/>
            </w:rPr>
            <w:id w:val="1164357149"/>
            <w:placeholder>
              <w:docPart w:val="96A41C8F59FB473F8779F883F8A7C381"/>
            </w:placeholder>
            <w:showingPlcHdr/>
          </w:sdtPr>
          <w:sdtContent>
            <w:tc>
              <w:tcPr>
                <w:tcW w:w="3321" w:type="dxa"/>
              </w:tcPr>
              <w:p w14:paraId="060B76C6" w14:textId="77777777" w:rsidR="007F3BE3" w:rsidRPr="007F3BE3" w:rsidRDefault="007F3BE3" w:rsidP="007F3BE3">
                <w:pPr>
                  <w:spacing w:before="0" w:after="0" w:line="276" w:lineRule="auto"/>
                  <w:rPr>
                    <w:rFonts w:ascii="Calibri" w:eastAsia="Times New Roman" w:hAnsi="Calibri" w:cs="Calibri"/>
                  </w:rPr>
                </w:pPr>
                <w:r w:rsidRPr="007F3BE3">
                  <w:rPr>
                    <w:rFonts w:ascii="Calibri" w:eastAsia="Calibri" w:hAnsi="Calibri" w:cs="Times New Roman"/>
                    <w:color w:val="808080"/>
                  </w:rPr>
                  <w:t>Click or tap here to enter text.</w:t>
                </w:r>
              </w:p>
            </w:tc>
          </w:sdtContent>
        </w:sdt>
        <w:sdt>
          <w:sdtPr>
            <w:rPr>
              <w:rFonts w:ascii="Calibri" w:eastAsia="Times New Roman" w:hAnsi="Calibri" w:cs="Calibri"/>
            </w:rPr>
            <w:id w:val="-380326098"/>
            <w:placeholder>
              <w:docPart w:val="96A41C8F59FB473F8779F883F8A7C381"/>
            </w:placeholder>
            <w:showingPlcHdr/>
          </w:sdtPr>
          <w:sdtContent>
            <w:tc>
              <w:tcPr>
                <w:tcW w:w="3321" w:type="dxa"/>
              </w:tcPr>
              <w:p w14:paraId="00D84667" w14:textId="77777777" w:rsidR="007F3BE3" w:rsidRPr="007F3BE3" w:rsidRDefault="007F3BE3" w:rsidP="007F3BE3">
                <w:pPr>
                  <w:spacing w:before="0" w:after="0" w:line="276" w:lineRule="auto"/>
                  <w:rPr>
                    <w:rFonts w:ascii="Calibri" w:eastAsia="Times New Roman" w:hAnsi="Calibri" w:cs="Calibri"/>
                  </w:rPr>
                </w:pPr>
                <w:r w:rsidRPr="007F3BE3">
                  <w:rPr>
                    <w:rFonts w:ascii="Calibri" w:eastAsia="Calibri" w:hAnsi="Calibri" w:cs="Times New Roman"/>
                    <w:color w:val="808080"/>
                  </w:rPr>
                  <w:t>Click or tap here to enter text.</w:t>
                </w:r>
              </w:p>
            </w:tc>
          </w:sdtContent>
        </w:sdt>
      </w:tr>
    </w:tbl>
    <w:p w14:paraId="2E8C2E6A" w14:textId="77777777" w:rsidR="007F3BE3" w:rsidRPr="007F3BE3" w:rsidRDefault="007F3BE3" w:rsidP="007F3BE3">
      <w:pPr>
        <w:spacing w:before="0" w:after="0" w:line="276" w:lineRule="auto"/>
        <w:rPr>
          <w:rFonts w:ascii="Calibri" w:eastAsia="Times New Roman" w:hAnsi="Calibri" w:cs="Calibri"/>
        </w:rPr>
      </w:pPr>
    </w:p>
    <w:p w14:paraId="52DD5276" w14:textId="77777777" w:rsidR="007F3BE3" w:rsidRPr="007F3BE3" w:rsidRDefault="007F3BE3" w:rsidP="007F3BE3">
      <w:pPr>
        <w:spacing w:before="0" w:after="0" w:line="276" w:lineRule="auto"/>
        <w:rPr>
          <w:rFonts w:ascii="Calibri" w:eastAsia="Times New Roman" w:hAnsi="Calibri" w:cs="Calibri"/>
        </w:rPr>
      </w:pPr>
    </w:p>
    <w:p w14:paraId="0FB14B08"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 xml:space="preserve">I can confirm that </w:t>
      </w:r>
    </w:p>
    <w:p w14:paraId="1F9818B9" w14:textId="77777777" w:rsidR="007F3BE3" w:rsidRPr="007F3BE3" w:rsidRDefault="007F3BE3" w:rsidP="007F3BE3">
      <w:pPr>
        <w:spacing w:before="0" w:after="0" w:line="276" w:lineRule="auto"/>
        <w:rPr>
          <w:rFonts w:ascii="Calibri" w:eastAsia="Times New Roman" w:hAnsi="Calibri" w:cs="Calibri"/>
          <w:bCs/>
        </w:rPr>
      </w:pPr>
    </w:p>
    <w:p w14:paraId="28F92822"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 xml:space="preserve"> </w:t>
      </w:r>
      <w:sdt>
        <w:sdtPr>
          <w:rPr>
            <w:rFonts w:ascii="Calibri" w:eastAsia="Times New Roman" w:hAnsi="Calibri" w:cs="Calibri"/>
            <w:bCs/>
          </w:rPr>
          <w:id w:val="-2071108010"/>
          <w14:checkbox>
            <w14:checked w14:val="0"/>
            <w14:checkedState w14:val="2612" w14:font="MS Gothic"/>
            <w14:uncheckedState w14:val="2610" w14:font="MS Gothic"/>
          </w14:checkbox>
        </w:sdtPr>
        <w:sdtContent>
          <w:r w:rsidRPr="007F3BE3">
            <w:rPr>
              <w:rFonts w:ascii="Segoe UI Symbol" w:eastAsia="Times New Roman" w:hAnsi="Segoe UI Symbol" w:cs="Segoe UI Symbol"/>
              <w:bCs/>
            </w:rPr>
            <w:t>☐</w:t>
          </w:r>
        </w:sdtContent>
      </w:sdt>
      <w:r w:rsidRPr="007F3BE3">
        <w:rPr>
          <w:rFonts w:ascii="Calibri" w:eastAsia="Times New Roman" w:hAnsi="Calibri" w:cs="Calibri"/>
          <w:bCs/>
        </w:rPr>
        <w:t xml:space="preserve">       I am willing to take on this responsibility from </w:t>
      </w:r>
      <w:sdt>
        <w:sdtPr>
          <w:rPr>
            <w:rFonts w:ascii="Calibri" w:eastAsia="Times New Roman" w:hAnsi="Calibri" w:cs="Calibri"/>
            <w:bCs/>
          </w:rPr>
          <w:id w:val="-313948020"/>
          <w:placeholder>
            <w:docPart w:val="96A41C8F59FB473F8779F883F8A7C381"/>
          </w:placeholder>
        </w:sdtPr>
        <w:sdtEndPr>
          <w:rPr>
            <w:rFonts w:eastAsia="Calibri" w:cs="Times New Roman"/>
            <w:bCs w:val="0"/>
            <w:i/>
          </w:rPr>
        </w:sdtEndPr>
        <w:sdtContent>
          <w:r w:rsidRPr="007F3BE3">
            <w:rPr>
              <w:rFonts w:ascii="Calibri" w:eastAsia="Calibri" w:hAnsi="Calibri" w:cs="Times New Roman"/>
              <w:i/>
            </w:rPr>
            <w:fldChar w:fldCharType="begin">
              <w:ffData>
                <w:name w:val="Text63"/>
                <w:enabled/>
                <w:calcOnExit w:val="0"/>
                <w:textInput>
                  <w:default w:val="[insert date]"/>
                </w:textInput>
              </w:ffData>
            </w:fldChar>
          </w:r>
          <w:r w:rsidRPr="007F3BE3">
            <w:rPr>
              <w:rFonts w:ascii="Calibri" w:eastAsia="Calibri" w:hAnsi="Calibri" w:cs="Times New Roman"/>
              <w:i/>
            </w:rPr>
            <w:instrText xml:space="preserve"> FORMTEXT </w:instrText>
          </w:r>
          <w:r w:rsidRPr="007F3BE3">
            <w:rPr>
              <w:rFonts w:ascii="Calibri" w:eastAsia="Calibri" w:hAnsi="Calibri" w:cs="Times New Roman"/>
              <w:i/>
            </w:rPr>
          </w:r>
          <w:r w:rsidRPr="007F3BE3">
            <w:rPr>
              <w:rFonts w:ascii="Calibri" w:eastAsia="Calibri" w:hAnsi="Calibri" w:cs="Times New Roman"/>
              <w:i/>
            </w:rPr>
            <w:fldChar w:fldCharType="separate"/>
          </w:r>
          <w:r w:rsidRPr="007F3BE3">
            <w:rPr>
              <w:rFonts w:ascii="Calibri" w:eastAsia="Calibri" w:hAnsi="Calibri" w:cs="Times New Roman"/>
              <w:i/>
              <w:noProof/>
            </w:rPr>
            <w:t>[insert date]</w:t>
          </w:r>
          <w:r w:rsidRPr="007F3BE3">
            <w:rPr>
              <w:rFonts w:ascii="Calibri" w:eastAsia="Calibri" w:hAnsi="Calibri" w:cs="Times New Roman"/>
              <w:i/>
            </w:rPr>
            <w:fldChar w:fldCharType="end"/>
          </w:r>
        </w:sdtContent>
      </w:sdt>
      <w:r w:rsidRPr="007F3BE3">
        <w:rPr>
          <w:rFonts w:ascii="Calibri" w:eastAsia="Calibri" w:hAnsi="Calibri" w:cs="Times New Roman"/>
          <w:i/>
        </w:rPr>
        <w:t xml:space="preserve"> </w:t>
      </w:r>
      <w:r w:rsidRPr="007F3BE3">
        <w:rPr>
          <w:rFonts w:ascii="Calibri" w:eastAsia="Times New Roman" w:hAnsi="Calibri" w:cs="Calibri"/>
          <w:bCs/>
        </w:rPr>
        <w:t>and will complete the monitoring as set out in the shared care protocol for this medicine/condition.</w:t>
      </w:r>
    </w:p>
    <w:p w14:paraId="7985594B" w14:textId="77777777" w:rsidR="007F3BE3" w:rsidRPr="007F3BE3" w:rsidRDefault="007F3BE3" w:rsidP="007F3BE3">
      <w:pPr>
        <w:spacing w:before="0" w:after="0" w:line="276" w:lineRule="auto"/>
        <w:rPr>
          <w:rFonts w:ascii="Calibri" w:eastAsia="Times New Roman" w:hAnsi="Calibri" w:cs="Calibri"/>
          <w:bCs/>
        </w:rPr>
      </w:pPr>
    </w:p>
    <w:p w14:paraId="0BBF9440"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 xml:space="preserve"> </w:t>
      </w:r>
      <w:sdt>
        <w:sdtPr>
          <w:rPr>
            <w:rFonts w:ascii="Calibri" w:eastAsia="Times New Roman" w:hAnsi="Calibri" w:cs="Calibri"/>
            <w:bCs/>
          </w:rPr>
          <w:id w:val="-1105112997"/>
          <w:placeholder>
            <w:docPart w:val="96A41C8F59FB473F8779F883F8A7C381"/>
          </w:placeholder>
        </w:sdtPr>
        <w:sdtContent>
          <w:sdt>
            <w:sdtPr>
              <w:rPr>
                <w:rFonts w:ascii="Calibri" w:eastAsia="Times New Roman" w:hAnsi="Calibri" w:cs="Calibri"/>
                <w:bCs/>
              </w:rPr>
              <w:id w:val="-1644951609"/>
              <w14:checkbox>
                <w14:checked w14:val="0"/>
                <w14:checkedState w14:val="2612" w14:font="MS Gothic"/>
                <w14:uncheckedState w14:val="2610" w14:font="MS Gothic"/>
              </w14:checkbox>
            </w:sdtPr>
            <w:sdtContent>
              <w:r w:rsidRPr="007F3BE3">
                <w:rPr>
                  <w:rFonts w:ascii="Segoe UI Symbol" w:eastAsia="Times New Roman" w:hAnsi="Segoe UI Symbol" w:cs="Segoe UI Symbol"/>
                  <w:bCs/>
                </w:rPr>
                <w:t>☐</w:t>
              </w:r>
            </w:sdtContent>
          </w:sdt>
        </w:sdtContent>
      </w:sdt>
      <w:r w:rsidRPr="007F3BE3">
        <w:rPr>
          <w:rFonts w:ascii="Calibri" w:eastAsia="Times New Roman" w:hAnsi="Calibri" w:cs="Calibri"/>
          <w:bCs/>
        </w:rPr>
        <w:t xml:space="preserve">       I am NOT willing to take on this responsibility due to the following reason/s (please specify):</w:t>
      </w:r>
    </w:p>
    <w:p w14:paraId="4FA7146B" w14:textId="77777777" w:rsidR="007F3BE3" w:rsidRPr="007F3BE3" w:rsidRDefault="007F3BE3" w:rsidP="007F3BE3">
      <w:pPr>
        <w:spacing w:before="0" w:after="0" w:line="276" w:lineRule="auto"/>
        <w:rPr>
          <w:rFonts w:ascii="Calibri" w:eastAsia="Times New Roman" w:hAnsi="Calibri" w:cs="Calibri"/>
          <w:bCs/>
        </w:rPr>
      </w:pPr>
    </w:p>
    <w:sdt>
      <w:sdtPr>
        <w:rPr>
          <w:rFonts w:ascii="Calibri" w:eastAsia="Times New Roman" w:hAnsi="Calibri" w:cs="Calibri"/>
          <w:bCs/>
        </w:rPr>
        <w:id w:val="140307335"/>
        <w:placeholder>
          <w:docPart w:val="96A41C8F59FB473F8779F883F8A7C381"/>
        </w:placeholder>
      </w:sdtPr>
      <w:sdtContent>
        <w:p w14:paraId="57C73D6A"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w:t>
          </w:r>
        </w:p>
        <w:p w14:paraId="118BDE9B"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w:t>
          </w:r>
        </w:p>
        <w:p w14:paraId="3DE7A4A5"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w:t>
          </w:r>
        </w:p>
        <w:p w14:paraId="7AA41A97"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w:t>
          </w:r>
        </w:p>
        <w:p w14:paraId="049D0C18"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w:t>
          </w:r>
        </w:p>
      </w:sdtContent>
    </w:sdt>
    <w:p w14:paraId="17E5A44D" w14:textId="77777777" w:rsidR="007F3BE3" w:rsidRPr="007F3BE3" w:rsidRDefault="007F3BE3" w:rsidP="007F3BE3">
      <w:pPr>
        <w:autoSpaceDE w:val="0"/>
        <w:autoSpaceDN w:val="0"/>
        <w:adjustRightInd w:val="0"/>
        <w:spacing w:before="0" w:after="0" w:line="276" w:lineRule="auto"/>
        <w:rPr>
          <w:rFonts w:ascii="Calibri" w:eastAsia="Times New Roman" w:hAnsi="Calibri" w:cs="Calibri"/>
          <w:bCs/>
          <w:lang w:eastAsia="en-GB"/>
        </w:rPr>
      </w:pPr>
      <w:r w:rsidRPr="007F3BE3">
        <w:rPr>
          <w:rFonts w:ascii="Calibri" w:eastAsia="Times New Roman" w:hAnsi="Calibri" w:cs="Calibri"/>
          <w:bCs/>
          <w:lang w:eastAsia="en-GB"/>
        </w:rPr>
        <w:t>I would be willing to consider prescribing for this patient once the above criteria have been met for this treatment.  If these/this is met by you please resubmit your request to share care.</w:t>
      </w:r>
    </w:p>
    <w:p w14:paraId="5FDCDE8F" w14:textId="77777777" w:rsidR="007F3BE3" w:rsidRPr="007F3BE3" w:rsidRDefault="007F3BE3" w:rsidP="007F3BE3">
      <w:pPr>
        <w:spacing w:before="0" w:after="0" w:line="276" w:lineRule="auto"/>
        <w:rPr>
          <w:rFonts w:ascii="Calibri" w:eastAsia="Times New Roman" w:hAnsi="Calibri" w:cs="Calibri"/>
          <w:bCs/>
        </w:rPr>
      </w:pPr>
    </w:p>
    <w:p w14:paraId="375303D1"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Primary Care Prescriber signature: _______________________________</w:t>
      </w:r>
      <w:r w:rsidRPr="007F3BE3">
        <w:rPr>
          <w:rFonts w:ascii="Calibri" w:eastAsia="Times New Roman" w:hAnsi="Calibri" w:cs="Calibri"/>
          <w:bCs/>
        </w:rPr>
        <w:tab/>
        <w:t xml:space="preserve">Date: ____________ </w:t>
      </w:r>
    </w:p>
    <w:p w14:paraId="06C64A09" w14:textId="77777777" w:rsidR="007F3BE3" w:rsidRPr="007F3BE3" w:rsidRDefault="007F3BE3" w:rsidP="007F3BE3">
      <w:pPr>
        <w:spacing w:before="0" w:after="0" w:line="276" w:lineRule="auto"/>
        <w:ind w:left="720"/>
        <w:rPr>
          <w:rFonts w:ascii="Calibri" w:eastAsia="Times New Roman" w:hAnsi="Calibri" w:cs="Calibri"/>
          <w:bCs/>
        </w:rPr>
      </w:pPr>
    </w:p>
    <w:p w14:paraId="0012FE56" w14:textId="77777777" w:rsidR="007F3BE3" w:rsidRPr="007F3BE3" w:rsidRDefault="007F3BE3" w:rsidP="007F3BE3">
      <w:pPr>
        <w:spacing w:before="0" w:after="0" w:line="276" w:lineRule="auto"/>
        <w:ind w:left="720"/>
        <w:rPr>
          <w:rFonts w:ascii="Calibri" w:eastAsia="Times New Roman" w:hAnsi="Calibri" w:cs="Calibri"/>
          <w:bCs/>
        </w:rPr>
      </w:pPr>
    </w:p>
    <w:p w14:paraId="73B3CC28" w14:textId="77777777" w:rsidR="007F3BE3" w:rsidRPr="007F3BE3" w:rsidRDefault="007F3BE3" w:rsidP="007F3BE3">
      <w:pPr>
        <w:spacing w:before="0" w:after="0" w:line="276" w:lineRule="auto"/>
        <w:ind w:left="720"/>
        <w:rPr>
          <w:rFonts w:ascii="Calibri" w:eastAsia="Times New Roman" w:hAnsi="Calibri" w:cs="Calibri"/>
          <w:bCs/>
        </w:rPr>
      </w:pPr>
    </w:p>
    <w:p w14:paraId="53AC0D19" w14:textId="77777777" w:rsidR="007F3BE3" w:rsidRPr="007F3BE3" w:rsidRDefault="007F3BE3" w:rsidP="007F3BE3">
      <w:pPr>
        <w:spacing w:before="0" w:after="0" w:line="276" w:lineRule="auto"/>
        <w:rPr>
          <w:rFonts w:ascii="Calibri" w:eastAsia="Times New Roman" w:hAnsi="Calibri" w:cs="Calibri"/>
          <w:bCs/>
        </w:rPr>
      </w:pPr>
      <w:r w:rsidRPr="007F3BE3">
        <w:rPr>
          <w:rFonts w:ascii="Calibri" w:eastAsia="Times New Roman" w:hAnsi="Calibri" w:cs="Calibri"/>
          <w:bCs/>
        </w:rPr>
        <w:t>Primary Care Prescriber address/practice stamp:</w:t>
      </w:r>
    </w:p>
    <w:p w14:paraId="53E43C01" w14:textId="77777777" w:rsidR="00D87ADE" w:rsidRPr="00D87ADE" w:rsidRDefault="00D87ADE" w:rsidP="00D87ADE">
      <w:pPr>
        <w:spacing w:before="0" w:after="200" w:line="276" w:lineRule="auto"/>
        <w:rPr>
          <w:rFonts w:ascii="Calibri" w:eastAsia="Calibri" w:hAnsi="Calibri" w:cs="Calibri"/>
          <w:b/>
          <w:u w:val="single"/>
        </w:rPr>
      </w:pPr>
    </w:p>
    <w:p w14:paraId="79DB3B37" w14:textId="77777777" w:rsidR="003552BC" w:rsidRDefault="003552BC" w:rsidP="00F34C5E"/>
    <w:sectPr w:rsidR="003552BC" w:rsidSect="00BF1406">
      <w:headerReference w:type="even" r:id="rId49"/>
      <w:headerReference w:type="default" r:id="rId50"/>
      <w:footerReference w:type="even" r:id="rId51"/>
      <w:footerReference w:type="default" r:id="rId52"/>
      <w:headerReference w:type="first" r:id="rId53"/>
      <w:footerReference w:type="first" r:id="rId54"/>
      <w:pgSz w:w="11906" w:h="16838"/>
      <w:pgMar w:top="851" w:right="720" w:bottom="1135"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00FD0" w14:textId="77777777" w:rsidR="0098586D" w:rsidRDefault="0098586D" w:rsidP="00E83C66">
      <w:pPr>
        <w:spacing w:after="0" w:line="240" w:lineRule="auto"/>
      </w:pPr>
      <w:r>
        <w:separator/>
      </w:r>
    </w:p>
  </w:endnote>
  <w:endnote w:type="continuationSeparator" w:id="0">
    <w:p w14:paraId="47A35BBC" w14:textId="77777777" w:rsidR="0098586D" w:rsidRDefault="0098586D" w:rsidP="00E8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7865" w14:textId="77777777" w:rsidR="004F7AC7" w:rsidRDefault="004F7A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4536" w14:textId="1DA58FE0" w:rsidR="007F3BE3" w:rsidRDefault="00CC4648" w:rsidP="00003E35">
    <w:pPr>
      <w:pStyle w:val="Footer"/>
    </w:pPr>
    <w:r w:rsidRPr="00003E35">
      <w:t xml:space="preserve">Shared care protocol: </w:t>
    </w:r>
    <w:r w:rsidR="005A3AFA" w:rsidRPr="005A3AFA">
      <w:t>Amiodarone for patients within adult services</w:t>
    </w:r>
    <w:r w:rsidRPr="00003E35">
      <w:tab/>
    </w:r>
    <w:r w:rsidR="00C11A23">
      <w:t>NENC v</w:t>
    </w:r>
    <w:r w:rsidR="00835CDA">
      <w:t>3.0</w:t>
    </w:r>
    <w:r w:rsidRPr="00003E35">
      <w:tab/>
    </w:r>
  </w:p>
  <w:p w14:paraId="505A2D92" w14:textId="2F94925A" w:rsidR="00BF1406" w:rsidRDefault="00CC4648" w:rsidP="004651C9">
    <w:pPr>
      <w:pStyle w:val="Footer"/>
    </w:pPr>
    <w:r w:rsidRPr="00003E35">
      <w:t>Approved by</w:t>
    </w:r>
    <w:r w:rsidR="007F3BE3">
      <w:t xml:space="preserve"> </w:t>
    </w:r>
    <w:r w:rsidR="004651C9">
      <w:t>NENC Clinical Effectiveness and Governance (CEG) Subcommittee</w:t>
    </w:r>
    <w:r w:rsidR="008D1B76">
      <w:t xml:space="preserve"> 2</w:t>
    </w:r>
    <w:r w:rsidR="004F7AC7">
      <w:t>6</w:t>
    </w:r>
    <w:r w:rsidR="008D1B76" w:rsidRPr="008D1B76">
      <w:rPr>
        <w:vertAlign w:val="superscript"/>
      </w:rPr>
      <w:t>th</w:t>
    </w:r>
    <w:r w:rsidR="008D1B76">
      <w:t xml:space="preserve"> March 2026</w:t>
    </w:r>
  </w:p>
  <w:p w14:paraId="1F0ED33A" w14:textId="1A4FAA1E" w:rsidR="00C11A23" w:rsidRDefault="00C11A23" w:rsidP="00003E35">
    <w:pPr>
      <w:pStyle w:val="Footer"/>
    </w:pPr>
    <w:r>
      <w:t xml:space="preserve">Review date: </w:t>
    </w:r>
    <w:r w:rsidR="008D1B76">
      <w:t>March 2028</w:t>
    </w:r>
  </w:p>
  <w:p w14:paraId="676D3540" w14:textId="4BCED391" w:rsidR="00C168CC" w:rsidRPr="00C168CC" w:rsidRDefault="00C168CC" w:rsidP="00C168CC">
    <w:pPr>
      <w:pStyle w:val="Footer"/>
      <w:jc w:val="right"/>
    </w:pPr>
    <w:r w:rsidRPr="00C168CC">
      <w:t xml:space="preserve">Page </w:t>
    </w:r>
    <w:r w:rsidRPr="00C168CC">
      <w:fldChar w:fldCharType="begin"/>
    </w:r>
    <w:r w:rsidRPr="00C168CC">
      <w:instrText xml:space="preserve"> PAGE  \* Arabic  \* MERGEFORMAT </w:instrText>
    </w:r>
    <w:r w:rsidRPr="00C168CC">
      <w:fldChar w:fldCharType="separate"/>
    </w:r>
    <w:r w:rsidRPr="00C168CC">
      <w:rPr>
        <w:noProof/>
      </w:rPr>
      <w:t>1</w:t>
    </w:r>
    <w:r w:rsidRPr="00C168CC">
      <w:fldChar w:fldCharType="end"/>
    </w:r>
    <w:r w:rsidRPr="00C168CC">
      <w:t xml:space="preserve"> of </w:t>
    </w:r>
    <w:fldSimple w:instr=" NUMPAGES  \* Arabic  \* MERGEFORMAT ">
      <w:r w:rsidRPr="00C168CC">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8F56" w14:textId="77777777" w:rsidR="004F7AC7" w:rsidRDefault="004F7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3AE00" w14:textId="77777777" w:rsidR="0098586D" w:rsidRDefault="0098586D" w:rsidP="00E83C66">
      <w:pPr>
        <w:spacing w:after="0" w:line="240" w:lineRule="auto"/>
      </w:pPr>
      <w:r>
        <w:separator/>
      </w:r>
    </w:p>
  </w:footnote>
  <w:footnote w:type="continuationSeparator" w:id="0">
    <w:p w14:paraId="752948EE" w14:textId="77777777" w:rsidR="0098586D" w:rsidRDefault="0098586D" w:rsidP="00E83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C791" w14:textId="51FA21B0" w:rsidR="00835CDA" w:rsidRDefault="00835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17F7" w14:textId="03EB4F5B" w:rsidR="00835CDA" w:rsidRDefault="00835C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70E70" w14:textId="6F6D5F9E" w:rsidR="00B1523B" w:rsidRDefault="003C21D1" w:rsidP="003C21D1">
    <w:pPr>
      <w:pStyle w:val="Header"/>
      <w:spacing w:after="0"/>
      <w:rPr>
        <w:b/>
        <w:bCs/>
      </w:rPr>
    </w:pPr>
    <w:r>
      <w:rPr>
        <w:b/>
        <w:bCs/>
      </w:rPr>
      <w:tab/>
    </w:r>
    <w:r w:rsidR="00B1523B">
      <w:rPr>
        <w:b/>
        <w:bCs/>
        <w:noProof/>
      </w:rPr>
      <w:drawing>
        <wp:inline distT="0" distB="0" distL="0" distR="0" wp14:anchorId="0E5C5011" wp14:editId="41AF01E4">
          <wp:extent cx="993775" cy="603250"/>
          <wp:effectExtent l="0" t="0" r="0" b="6350"/>
          <wp:docPr id="1751606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603250"/>
                  </a:xfrm>
                  <a:prstGeom prst="rect">
                    <a:avLst/>
                  </a:prstGeom>
                  <a:noFill/>
                </pic:spPr>
              </pic:pic>
            </a:graphicData>
          </a:graphic>
        </wp:inline>
      </w:drawing>
    </w:r>
  </w:p>
  <w:p w14:paraId="034ABC3F" w14:textId="489D56D8" w:rsidR="00CB6622" w:rsidRPr="003C21D1" w:rsidRDefault="00B1523B" w:rsidP="003C21D1">
    <w:pPr>
      <w:pStyle w:val="Header"/>
      <w:spacing w:after="0"/>
    </w:pPr>
    <w:r>
      <w:rPr>
        <w:rStyle w:val="Heading1Char"/>
      </w:rPr>
      <w:tab/>
    </w:r>
    <w:r w:rsidR="003C21D1" w:rsidRPr="001179FD">
      <w:rPr>
        <w:rStyle w:val="Heading1Char"/>
      </w:rPr>
      <w:t>Shared care protocol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CE7"/>
    <w:multiLevelType w:val="hybridMultilevel"/>
    <w:tmpl w:val="914692A0"/>
    <w:lvl w:ilvl="0" w:tplc="08090005">
      <w:start w:val="1"/>
      <w:numFmt w:val="bullet"/>
      <w:lvlText w:val=""/>
      <w:lvlJc w:val="left"/>
      <w:pPr>
        <w:ind w:left="2520" w:hanging="360"/>
      </w:pPr>
      <w:rPr>
        <w:rFonts w:ascii="Wingdings" w:hAnsi="Wingdings" w:hint="default"/>
        <w:b w:val="0"/>
        <w:color w:val="auto"/>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 w15:restartNumberingAfterBreak="0">
    <w:nsid w:val="05AF464B"/>
    <w:multiLevelType w:val="hybridMultilevel"/>
    <w:tmpl w:val="519884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D44F35"/>
    <w:multiLevelType w:val="hybridMultilevel"/>
    <w:tmpl w:val="B81CAE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D73EDF"/>
    <w:multiLevelType w:val="hybridMultilevel"/>
    <w:tmpl w:val="815C3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A23841"/>
    <w:multiLevelType w:val="hybridMultilevel"/>
    <w:tmpl w:val="67CEB5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E045B69"/>
    <w:multiLevelType w:val="hybridMultilevel"/>
    <w:tmpl w:val="367695B0"/>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E60A6"/>
    <w:multiLevelType w:val="hybridMultilevel"/>
    <w:tmpl w:val="0CCEB132"/>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A3C92"/>
    <w:multiLevelType w:val="hybridMultilevel"/>
    <w:tmpl w:val="04A474C8"/>
    <w:lvl w:ilvl="0" w:tplc="E626FE08">
      <w:start w:val="1"/>
      <w:numFmt w:val="bullet"/>
      <w:lvlText w:val=""/>
      <w:lvlJc w:val="left"/>
      <w:pPr>
        <w:ind w:left="644" w:hanging="360"/>
      </w:pPr>
      <w:rPr>
        <w:rFonts w:ascii="Symbol" w:hAnsi="Symbol" w:hint="default"/>
        <w:sz w:val="24"/>
      </w:rPr>
    </w:lvl>
    <w:lvl w:ilvl="1" w:tplc="08090003">
      <w:start w:val="1"/>
      <w:numFmt w:val="bullet"/>
      <w:lvlText w:val="o"/>
      <w:lvlJc w:val="left"/>
      <w:pPr>
        <w:ind w:left="1440" w:hanging="360"/>
      </w:pPr>
      <w:rPr>
        <w:rFonts w:ascii="Courier New" w:hAnsi="Courier New" w:cs="Courier New" w:hint="default"/>
      </w:rPr>
    </w:lvl>
    <w:lvl w:ilvl="2" w:tplc="84DC7B74">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4E6097"/>
    <w:multiLevelType w:val="hybridMultilevel"/>
    <w:tmpl w:val="4EB6247A"/>
    <w:lvl w:ilvl="0" w:tplc="AB30C4F2">
      <w:numFmt w:val="bullet"/>
      <w:lvlText w:val="•"/>
      <w:lvlJc w:val="left"/>
      <w:pPr>
        <w:ind w:left="720" w:hanging="360"/>
      </w:pPr>
      <w:rPr>
        <w:rFonts w:ascii="Arial" w:eastAsiaTheme="minorHAnsi" w:hAnsi="Aria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D61B41"/>
    <w:multiLevelType w:val="hybridMultilevel"/>
    <w:tmpl w:val="48043C8C"/>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18314C26"/>
    <w:multiLevelType w:val="hybridMultilevel"/>
    <w:tmpl w:val="421C97FE"/>
    <w:lvl w:ilvl="0" w:tplc="786C6D66">
      <w:start w:val="1"/>
      <w:numFmt w:val="bullet"/>
      <w:lvlText w:val=""/>
      <w:lvlJc w:val="left"/>
      <w:pPr>
        <w:ind w:left="720" w:hanging="360"/>
      </w:pPr>
      <w:rPr>
        <w:rFonts w:ascii="Symbol" w:hAnsi="Symbol"/>
      </w:rPr>
    </w:lvl>
    <w:lvl w:ilvl="1" w:tplc="85A2189E">
      <w:start w:val="1"/>
      <w:numFmt w:val="bullet"/>
      <w:lvlText w:val=""/>
      <w:lvlJc w:val="left"/>
      <w:pPr>
        <w:ind w:left="720" w:hanging="360"/>
      </w:pPr>
      <w:rPr>
        <w:rFonts w:ascii="Symbol" w:hAnsi="Symbol"/>
      </w:rPr>
    </w:lvl>
    <w:lvl w:ilvl="2" w:tplc="D01C5F3A">
      <w:start w:val="1"/>
      <w:numFmt w:val="bullet"/>
      <w:lvlText w:val=""/>
      <w:lvlJc w:val="left"/>
      <w:pPr>
        <w:ind w:left="720" w:hanging="360"/>
      </w:pPr>
      <w:rPr>
        <w:rFonts w:ascii="Symbol" w:hAnsi="Symbol"/>
      </w:rPr>
    </w:lvl>
    <w:lvl w:ilvl="3" w:tplc="CF627270">
      <w:start w:val="1"/>
      <w:numFmt w:val="bullet"/>
      <w:lvlText w:val=""/>
      <w:lvlJc w:val="left"/>
      <w:pPr>
        <w:ind w:left="720" w:hanging="360"/>
      </w:pPr>
      <w:rPr>
        <w:rFonts w:ascii="Symbol" w:hAnsi="Symbol"/>
      </w:rPr>
    </w:lvl>
    <w:lvl w:ilvl="4" w:tplc="B1A8F85A">
      <w:start w:val="1"/>
      <w:numFmt w:val="bullet"/>
      <w:lvlText w:val=""/>
      <w:lvlJc w:val="left"/>
      <w:pPr>
        <w:ind w:left="720" w:hanging="360"/>
      </w:pPr>
      <w:rPr>
        <w:rFonts w:ascii="Symbol" w:hAnsi="Symbol"/>
      </w:rPr>
    </w:lvl>
    <w:lvl w:ilvl="5" w:tplc="17E4D13E">
      <w:start w:val="1"/>
      <w:numFmt w:val="bullet"/>
      <w:lvlText w:val=""/>
      <w:lvlJc w:val="left"/>
      <w:pPr>
        <w:ind w:left="720" w:hanging="360"/>
      </w:pPr>
      <w:rPr>
        <w:rFonts w:ascii="Symbol" w:hAnsi="Symbol"/>
      </w:rPr>
    </w:lvl>
    <w:lvl w:ilvl="6" w:tplc="C4DCB91C">
      <w:start w:val="1"/>
      <w:numFmt w:val="bullet"/>
      <w:lvlText w:val=""/>
      <w:lvlJc w:val="left"/>
      <w:pPr>
        <w:ind w:left="720" w:hanging="360"/>
      </w:pPr>
      <w:rPr>
        <w:rFonts w:ascii="Symbol" w:hAnsi="Symbol"/>
      </w:rPr>
    </w:lvl>
    <w:lvl w:ilvl="7" w:tplc="DBCCB9E6">
      <w:start w:val="1"/>
      <w:numFmt w:val="bullet"/>
      <w:lvlText w:val=""/>
      <w:lvlJc w:val="left"/>
      <w:pPr>
        <w:ind w:left="720" w:hanging="360"/>
      </w:pPr>
      <w:rPr>
        <w:rFonts w:ascii="Symbol" w:hAnsi="Symbol"/>
      </w:rPr>
    </w:lvl>
    <w:lvl w:ilvl="8" w:tplc="5F7EC3B0">
      <w:start w:val="1"/>
      <w:numFmt w:val="bullet"/>
      <w:lvlText w:val=""/>
      <w:lvlJc w:val="left"/>
      <w:pPr>
        <w:ind w:left="720" w:hanging="360"/>
      </w:pPr>
      <w:rPr>
        <w:rFonts w:ascii="Symbol" w:hAnsi="Symbol"/>
      </w:rPr>
    </w:lvl>
  </w:abstractNum>
  <w:abstractNum w:abstractNumId="11" w15:restartNumberingAfterBreak="0">
    <w:nsid w:val="1C470498"/>
    <w:multiLevelType w:val="hybridMultilevel"/>
    <w:tmpl w:val="EE6C3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2584CB4"/>
    <w:multiLevelType w:val="hybridMultilevel"/>
    <w:tmpl w:val="95F08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43D73BE"/>
    <w:multiLevelType w:val="hybridMultilevel"/>
    <w:tmpl w:val="376EC91A"/>
    <w:lvl w:ilvl="0" w:tplc="9A4247BC">
      <w:start w:val="1"/>
      <w:numFmt w:val="bullet"/>
      <w:lvlText w:val=""/>
      <w:lvlJc w:val="left"/>
      <w:pPr>
        <w:ind w:left="2160" w:hanging="360"/>
      </w:pPr>
      <w:rPr>
        <w:rFonts w:ascii="Symbol" w:hAnsi="Symbol"/>
      </w:rPr>
    </w:lvl>
    <w:lvl w:ilvl="1" w:tplc="82EAE024">
      <w:start w:val="1"/>
      <w:numFmt w:val="bullet"/>
      <w:lvlText w:val=""/>
      <w:lvlJc w:val="left"/>
      <w:pPr>
        <w:ind w:left="2160" w:hanging="360"/>
      </w:pPr>
      <w:rPr>
        <w:rFonts w:ascii="Symbol" w:hAnsi="Symbol"/>
      </w:rPr>
    </w:lvl>
    <w:lvl w:ilvl="2" w:tplc="7654EAB6">
      <w:start w:val="1"/>
      <w:numFmt w:val="bullet"/>
      <w:lvlText w:val=""/>
      <w:lvlJc w:val="left"/>
      <w:pPr>
        <w:ind w:left="2160" w:hanging="360"/>
      </w:pPr>
      <w:rPr>
        <w:rFonts w:ascii="Symbol" w:hAnsi="Symbol"/>
      </w:rPr>
    </w:lvl>
    <w:lvl w:ilvl="3" w:tplc="C5BEAE76">
      <w:start w:val="1"/>
      <w:numFmt w:val="bullet"/>
      <w:lvlText w:val=""/>
      <w:lvlJc w:val="left"/>
      <w:pPr>
        <w:ind w:left="2160" w:hanging="360"/>
      </w:pPr>
      <w:rPr>
        <w:rFonts w:ascii="Symbol" w:hAnsi="Symbol"/>
      </w:rPr>
    </w:lvl>
    <w:lvl w:ilvl="4" w:tplc="55FADEBE">
      <w:start w:val="1"/>
      <w:numFmt w:val="bullet"/>
      <w:lvlText w:val=""/>
      <w:lvlJc w:val="left"/>
      <w:pPr>
        <w:ind w:left="2160" w:hanging="360"/>
      </w:pPr>
      <w:rPr>
        <w:rFonts w:ascii="Symbol" w:hAnsi="Symbol"/>
      </w:rPr>
    </w:lvl>
    <w:lvl w:ilvl="5" w:tplc="A014B5A6">
      <w:start w:val="1"/>
      <w:numFmt w:val="bullet"/>
      <w:lvlText w:val=""/>
      <w:lvlJc w:val="left"/>
      <w:pPr>
        <w:ind w:left="2160" w:hanging="360"/>
      </w:pPr>
      <w:rPr>
        <w:rFonts w:ascii="Symbol" w:hAnsi="Symbol"/>
      </w:rPr>
    </w:lvl>
    <w:lvl w:ilvl="6" w:tplc="53E62C92">
      <w:start w:val="1"/>
      <w:numFmt w:val="bullet"/>
      <w:lvlText w:val=""/>
      <w:lvlJc w:val="left"/>
      <w:pPr>
        <w:ind w:left="2160" w:hanging="360"/>
      </w:pPr>
      <w:rPr>
        <w:rFonts w:ascii="Symbol" w:hAnsi="Symbol"/>
      </w:rPr>
    </w:lvl>
    <w:lvl w:ilvl="7" w:tplc="61C2A98E">
      <w:start w:val="1"/>
      <w:numFmt w:val="bullet"/>
      <w:lvlText w:val=""/>
      <w:lvlJc w:val="left"/>
      <w:pPr>
        <w:ind w:left="2160" w:hanging="360"/>
      </w:pPr>
      <w:rPr>
        <w:rFonts w:ascii="Symbol" w:hAnsi="Symbol"/>
      </w:rPr>
    </w:lvl>
    <w:lvl w:ilvl="8" w:tplc="2E7483F0">
      <w:start w:val="1"/>
      <w:numFmt w:val="bullet"/>
      <w:lvlText w:val=""/>
      <w:lvlJc w:val="left"/>
      <w:pPr>
        <w:ind w:left="2160" w:hanging="360"/>
      </w:pPr>
      <w:rPr>
        <w:rFonts w:ascii="Symbol" w:hAnsi="Symbol"/>
      </w:rPr>
    </w:lvl>
  </w:abstractNum>
  <w:abstractNum w:abstractNumId="14" w15:restartNumberingAfterBreak="0">
    <w:nsid w:val="24E92F14"/>
    <w:multiLevelType w:val="hybridMultilevel"/>
    <w:tmpl w:val="784C8F76"/>
    <w:lvl w:ilvl="0" w:tplc="4358DA1C">
      <w:start w:val="1"/>
      <w:numFmt w:val="bullet"/>
      <w:lvlText w:val=""/>
      <w:lvlJc w:val="left"/>
      <w:pPr>
        <w:ind w:left="2160" w:hanging="360"/>
      </w:pPr>
      <w:rPr>
        <w:rFonts w:ascii="Symbol" w:hAnsi="Symbol"/>
      </w:rPr>
    </w:lvl>
    <w:lvl w:ilvl="1" w:tplc="F0F4447A">
      <w:start w:val="1"/>
      <w:numFmt w:val="bullet"/>
      <w:lvlText w:val=""/>
      <w:lvlJc w:val="left"/>
      <w:pPr>
        <w:ind w:left="2160" w:hanging="360"/>
      </w:pPr>
      <w:rPr>
        <w:rFonts w:ascii="Symbol" w:hAnsi="Symbol"/>
      </w:rPr>
    </w:lvl>
    <w:lvl w:ilvl="2" w:tplc="7B060AB0">
      <w:start w:val="1"/>
      <w:numFmt w:val="bullet"/>
      <w:lvlText w:val=""/>
      <w:lvlJc w:val="left"/>
      <w:pPr>
        <w:ind w:left="2160" w:hanging="360"/>
      </w:pPr>
      <w:rPr>
        <w:rFonts w:ascii="Symbol" w:hAnsi="Symbol"/>
      </w:rPr>
    </w:lvl>
    <w:lvl w:ilvl="3" w:tplc="5F501068">
      <w:start w:val="1"/>
      <w:numFmt w:val="bullet"/>
      <w:lvlText w:val=""/>
      <w:lvlJc w:val="left"/>
      <w:pPr>
        <w:ind w:left="2160" w:hanging="360"/>
      </w:pPr>
      <w:rPr>
        <w:rFonts w:ascii="Symbol" w:hAnsi="Symbol"/>
      </w:rPr>
    </w:lvl>
    <w:lvl w:ilvl="4" w:tplc="D5BE93A2">
      <w:start w:val="1"/>
      <w:numFmt w:val="bullet"/>
      <w:lvlText w:val=""/>
      <w:lvlJc w:val="left"/>
      <w:pPr>
        <w:ind w:left="2160" w:hanging="360"/>
      </w:pPr>
      <w:rPr>
        <w:rFonts w:ascii="Symbol" w:hAnsi="Symbol"/>
      </w:rPr>
    </w:lvl>
    <w:lvl w:ilvl="5" w:tplc="51E6479C">
      <w:start w:val="1"/>
      <w:numFmt w:val="bullet"/>
      <w:lvlText w:val=""/>
      <w:lvlJc w:val="left"/>
      <w:pPr>
        <w:ind w:left="2160" w:hanging="360"/>
      </w:pPr>
      <w:rPr>
        <w:rFonts w:ascii="Symbol" w:hAnsi="Symbol"/>
      </w:rPr>
    </w:lvl>
    <w:lvl w:ilvl="6" w:tplc="9522A590">
      <w:start w:val="1"/>
      <w:numFmt w:val="bullet"/>
      <w:lvlText w:val=""/>
      <w:lvlJc w:val="left"/>
      <w:pPr>
        <w:ind w:left="2160" w:hanging="360"/>
      </w:pPr>
      <w:rPr>
        <w:rFonts w:ascii="Symbol" w:hAnsi="Symbol"/>
      </w:rPr>
    </w:lvl>
    <w:lvl w:ilvl="7" w:tplc="2AD69C14">
      <w:start w:val="1"/>
      <w:numFmt w:val="bullet"/>
      <w:lvlText w:val=""/>
      <w:lvlJc w:val="left"/>
      <w:pPr>
        <w:ind w:left="2160" w:hanging="360"/>
      </w:pPr>
      <w:rPr>
        <w:rFonts w:ascii="Symbol" w:hAnsi="Symbol"/>
      </w:rPr>
    </w:lvl>
    <w:lvl w:ilvl="8" w:tplc="58D8B8D6">
      <w:start w:val="1"/>
      <w:numFmt w:val="bullet"/>
      <w:lvlText w:val=""/>
      <w:lvlJc w:val="left"/>
      <w:pPr>
        <w:ind w:left="2160" w:hanging="360"/>
      </w:pPr>
      <w:rPr>
        <w:rFonts w:ascii="Symbol" w:hAnsi="Symbol"/>
      </w:rPr>
    </w:lvl>
  </w:abstractNum>
  <w:abstractNum w:abstractNumId="15" w15:restartNumberingAfterBreak="0">
    <w:nsid w:val="27941E9E"/>
    <w:multiLevelType w:val="hybridMultilevel"/>
    <w:tmpl w:val="BF3CFC7A"/>
    <w:lvl w:ilvl="0" w:tplc="F940AB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4A2877"/>
    <w:multiLevelType w:val="hybridMultilevel"/>
    <w:tmpl w:val="979241D0"/>
    <w:lvl w:ilvl="0" w:tplc="9FB8E7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8E42DA"/>
    <w:multiLevelType w:val="hybridMultilevel"/>
    <w:tmpl w:val="9BA0E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6C73F66"/>
    <w:multiLevelType w:val="hybridMultilevel"/>
    <w:tmpl w:val="E4449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D80D61"/>
    <w:multiLevelType w:val="hybridMultilevel"/>
    <w:tmpl w:val="CAF24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E935B69"/>
    <w:multiLevelType w:val="hybridMultilevel"/>
    <w:tmpl w:val="2C646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19733B"/>
    <w:multiLevelType w:val="hybridMultilevel"/>
    <w:tmpl w:val="F0F80D38"/>
    <w:lvl w:ilvl="0" w:tplc="5916F47C">
      <w:start w:val="1"/>
      <w:numFmt w:val="bullet"/>
      <w:lvlText w:val=""/>
      <w:lvlJc w:val="left"/>
      <w:pPr>
        <w:ind w:left="1440" w:hanging="360"/>
      </w:pPr>
      <w:rPr>
        <w:rFonts w:ascii="Symbol" w:hAnsi="Symbol"/>
      </w:rPr>
    </w:lvl>
    <w:lvl w:ilvl="1" w:tplc="D1926A20">
      <w:start w:val="1"/>
      <w:numFmt w:val="bullet"/>
      <w:lvlText w:val=""/>
      <w:lvlJc w:val="left"/>
      <w:pPr>
        <w:ind w:left="1440" w:hanging="360"/>
      </w:pPr>
      <w:rPr>
        <w:rFonts w:ascii="Symbol" w:hAnsi="Symbol"/>
      </w:rPr>
    </w:lvl>
    <w:lvl w:ilvl="2" w:tplc="A88A5702">
      <w:start w:val="1"/>
      <w:numFmt w:val="bullet"/>
      <w:lvlText w:val=""/>
      <w:lvlJc w:val="left"/>
      <w:pPr>
        <w:ind w:left="1440" w:hanging="360"/>
      </w:pPr>
      <w:rPr>
        <w:rFonts w:ascii="Symbol" w:hAnsi="Symbol"/>
      </w:rPr>
    </w:lvl>
    <w:lvl w:ilvl="3" w:tplc="5338F9BC">
      <w:start w:val="1"/>
      <w:numFmt w:val="bullet"/>
      <w:lvlText w:val=""/>
      <w:lvlJc w:val="left"/>
      <w:pPr>
        <w:ind w:left="1440" w:hanging="360"/>
      </w:pPr>
      <w:rPr>
        <w:rFonts w:ascii="Symbol" w:hAnsi="Symbol"/>
      </w:rPr>
    </w:lvl>
    <w:lvl w:ilvl="4" w:tplc="259E6C0C">
      <w:start w:val="1"/>
      <w:numFmt w:val="bullet"/>
      <w:lvlText w:val=""/>
      <w:lvlJc w:val="left"/>
      <w:pPr>
        <w:ind w:left="1440" w:hanging="360"/>
      </w:pPr>
      <w:rPr>
        <w:rFonts w:ascii="Symbol" w:hAnsi="Symbol"/>
      </w:rPr>
    </w:lvl>
    <w:lvl w:ilvl="5" w:tplc="A1A6F1E2">
      <w:start w:val="1"/>
      <w:numFmt w:val="bullet"/>
      <w:lvlText w:val=""/>
      <w:lvlJc w:val="left"/>
      <w:pPr>
        <w:ind w:left="1440" w:hanging="360"/>
      </w:pPr>
      <w:rPr>
        <w:rFonts w:ascii="Symbol" w:hAnsi="Symbol"/>
      </w:rPr>
    </w:lvl>
    <w:lvl w:ilvl="6" w:tplc="311EB4F0">
      <w:start w:val="1"/>
      <w:numFmt w:val="bullet"/>
      <w:lvlText w:val=""/>
      <w:lvlJc w:val="left"/>
      <w:pPr>
        <w:ind w:left="1440" w:hanging="360"/>
      </w:pPr>
      <w:rPr>
        <w:rFonts w:ascii="Symbol" w:hAnsi="Symbol"/>
      </w:rPr>
    </w:lvl>
    <w:lvl w:ilvl="7" w:tplc="F3A6C9A0">
      <w:start w:val="1"/>
      <w:numFmt w:val="bullet"/>
      <w:lvlText w:val=""/>
      <w:lvlJc w:val="left"/>
      <w:pPr>
        <w:ind w:left="1440" w:hanging="360"/>
      </w:pPr>
      <w:rPr>
        <w:rFonts w:ascii="Symbol" w:hAnsi="Symbol"/>
      </w:rPr>
    </w:lvl>
    <w:lvl w:ilvl="8" w:tplc="83A8290E">
      <w:start w:val="1"/>
      <w:numFmt w:val="bullet"/>
      <w:lvlText w:val=""/>
      <w:lvlJc w:val="left"/>
      <w:pPr>
        <w:ind w:left="1440" w:hanging="360"/>
      </w:pPr>
      <w:rPr>
        <w:rFonts w:ascii="Symbol" w:hAnsi="Symbol"/>
      </w:rPr>
    </w:lvl>
  </w:abstractNum>
  <w:abstractNum w:abstractNumId="22" w15:restartNumberingAfterBreak="0">
    <w:nsid w:val="45DE25A1"/>
    <w:multiLevelType w:val="hybridMultilevel"/>
    <w:tmpl w:val="44083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EE2D6B"/>
    <w:multiLevelType w:val="hybridMultilevel"/>
    <w:tmpl w:val="4E8CC78E"/>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D83B6D"/>
    <w:multiLevelType w:val="hybridMultilevel"/>
    <w:tmpl w:val="E9D67A8E"/>
    <w:lvl w:ilvl="0" w:tplc="5A12B89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069E9"/>
    <w:multiLevelType w:val="hybridMultilevel"/>
    <w:tmpl w:val="97369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0477811"/>
    <w:multiLevelType w:val="hybridMultilevel"/>
    <w:tmpl w:val="F17849AE"/>
    <w:lvl w:ilvl="0" w:tplc="2ECC9050">
      <w:start w:val="1"/>
      <w:numFmt w:val="decimal"/>
      <w:pStyle w:val="Heading2"/>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1B01E5E"/>
    <w:multiLevelType w:val="hybridMultilevel"/>
    <w:tmpl w:val="7AC09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74A7FE9"/>
    <w:multiLevelType w:val="hybridMultilevel"/>
    <w:tmpl w:val="B31E1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F6440DA"/>
    <w:multiLevelType w:val="hybridMultilevel"/>
    <w:tmpl w:val="5ACA7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0DB005A"/>
    <w:multiLevelType w:val="hybridMultilevel"/>
    <w:tmpl w:val="770C6174"/>
    <w:lvl w:ilvl="0" w:tplc="AB30C4F2">
      <w:numFmt w:val="bullet"/>
      <w:lvlText w:val="•"/>
      <w:lvlJc w:val="left"/>
      <w:pPr>
        <w:ind w:left="1080" w:hanging="360"/>
      </w:pPr>
      <w:rPr>
        <w:rFonts w:ascii="Arial" w:eastAsiaTheme="minorHAnsi" w:hAnsi="Arial" w:hint="default"/>
        <w:b w:val="0"/>
        <w:color w:val="auto"/>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1971A72"/>
    <w:multiLevelType w:val="hybridMultilevel"/>
    <w:tmpl w:val="6DBA08C2"/>
    <w:lvl w:ilvl="0" w:tplc="178C9B6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454D17"/>
    <w:multiLevelType w:val="hybridMultilevel"/>
    <w:tmpl w:val="747E7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956018"/>
    <w:multiLevelType w:val="hybridMultilevel"/>
    <w:tmpl w:val="6004E9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67405FB3"/>
    <w:multiLevelType w:val="hybridMultilevel"/>
    <w:tmpl w:val="3D4E336A"/>
    <w:lvl w:ilvl="0" w:tplc="F53A632C">
      <w:start w:val="1"/>
      <w:numFmt w:val="bullet"/>
      <w:lvlText w:val=""/>
      <w:lvlJc w:val="left"/>
      <w:pPr>
        <w:ind w:left="740" w:hanging="360"/>
      </w:pPr>
      <w:rPr>
        <w:rFonts w:ascii="Symbol" w:hAnsi="Symbol"/>
      </w:rPr>
    </w:lvl>
    <w:lvl w:ilvl="1" w:tplc="0B24DABE">
      <w:start w:val="1"/>
      <w:numFmt w:val="bullet"/>
      <w:lvlText w:val=""/>
      <w:lvlJc w:val="left"/>
      <w:pPr>
        <w:ind w:left="740" w:hanging="360"/>
      </w:pPr>
      <w:rPr>
        <w:rFonts w:ascii="Symbol" w:hAnsi="Symbol"/>
      </w:rPr>
    </w:lvl>
    <w:lvl w:ilvl="2" w:tplc="3A2628B2">
      <w:start w:val="1"/>
      <w:numFmt w:val="bullet"/>
      <w:lvlText w:val=""/>
      <w:lvlJc w:val="left"/>
      <w:pPr>
        <w:ind w:left="740" w:hanging="360"/>
      </w:pPr>
      <w:rPr>
        <w:rFonts w:ascii="Symbol" w:hAnsi="Symbol"/>
      </w:rPr>
    </w:lvl>
    <w:lvl w:ilvl="3" w:tplc="985445F8">
      <w:start w:val="1"/>
      <w:numFmt w:val="bullet"/>
      <w:lvlText w:val=""/>
      <w:lvlJc w:val="left"/>
      <w:pPr>
        <w:ind w:left="740" w:hanging="360"/>
      </w:pPr>
      <w:rPr>
        <w:rFonts w:ascii="Symbol" w:hAnsi="Symbol"/>
      </w:rPr>
    </w:lvl>
    <w:lvl w:ilvl="4" w:tplc="BEE8467C">
      <w:start w:val="1"/>
      <w:numFmt w:val="bullet"/>
      <w:lvlText w:val=""/>
      <w:lvlJc w:val="left"/>
      <w:pPr>
        <w:ind w:left="740" w:hanging="360"/>
      </w:pPr>
      <w:rPr>
        <w:rFonts w:ascii="Symbol" w:hAnsi="Symbol"/>
      </w:rPr>
    </w:lvl>
    <w:lvl w:ilvl="5" w:tplc="94168FD4">
      <w:start w:val="1"/>
      <w:numFmt w:val="bullet"/>
      <w:lvlText w:val=""/>
      <w:lvlJc w:val="left"/>
      <w:pPr>
        <w:ind w:left="740" w:hanging="360"/>
      </w:pPr>
      <w:rPr>
        <w:rFonts w:ascii="Symbol" w:hAnsi="Symbol"/>
      </w:rPr>
    </w:lvl>
    <w:lvl w:ilvl="6" w:tplc="272AF04E">
      <w:start w:val="1"/>
      <w:numFmt w:val="bullet"/>
      <w:lvlText w:val=""/>
      <w:lvlJc w:val="left"/>
      <w:pPr>
        <w:ind w:left="740" w:hanging="360"/>
      </w:pPr>
      <w:rPr>
        <w:rFonts w:ascii="Symbol" w:hAnsi="Symbol"/>
      </w:rPr>
    </w:lvl>
    <w:lvl w:ilvl="7" w:tplc="62805864">
      <w:start w:val="1"/>
      <w:numFmt w:val="bullet"/>
      <w:lvlText w:val=""/>
      <w:lvlJc w:val="left"/>
      <w:pPr>
        <w:ind w:left="740" w:hanging="360"/>
      </w:pPr>
      <w:rPr>
        <w:rFonts w:ascii="Symbol" w:hAnsi="Symbol"/>
      </w:rPr>
    </w:lvl>
    <w:lvl w:ilvl="8" w:tplc="84C4C044">
      <w:start w:val="1"/>
      <w:numFmt w:val="bullet"/>
      <w:lvlText w:val=""/>
      <w:lvlJc w:val="left"/>
      <w:pPr>
        <w:ind w:left="740" w:hanging="360"/>
      </w:pPr>
      <w:rPr>
        <w:rFonts w:ascii="Symbol" w:hAnsi="Symbol"/>
      </w:rPr>
    </w:lvl>
  </w:abstractNum>
  <w:abstractNum w:abstractNumId="35" w15:restartNumberingAfterBreak="0">
    <w:nsid w:val="686945C6"/>
    <w:multiLevelType w:val="hybridMultilevel"/>
    <w:tmpl w:val="DB2CC392"/>
    <w:lvl w:ilvl="0" w:tplc="AB30C4F2">
      <w:numFmt w:val="bullet"/>
      <w:lvlText w:val="•"/>
      <w:lvlJc w:val="left"/>
      <w:pPr>
        <w:ind w:left="2520" w:hanging="360"/>
      </w:pPr>
      <w:rPr>
        <w:rFonts w:ascii="Arial" w:eastAsiaTheme="minorHAnsi" w:hAnsi="Arial" w:hint="default"/>
        <w:b w:val="0"/>
        <w:color w:val="auto"/>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6" w15:restartNumberingAfterBreak="0">
    <w:nsid w:val="68DC069E"/>
    <w:multiLevelType w:val="hybridMultilevel"/>
    <w:tmpl w:val="D5C44A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68F25D56"/>
    <w:multiLevelType w:val="hybridMultilevel"/>
    <w:tmpl w:val="F31AD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B98727B"/>
    <w:multiLevelType w:val="hybridMultilevel"/>
    <w:tmpl w:val="6B864AA2"/>
    <w:lvl w:ilvl="0" w:tplc="178C9B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42641B"/>
    <w:multiLevelType w:val="hybridMultilevel"/>
    <w:tmpl w:val="3C923F64"/>
    <w:lvl w:ilvl="0" w:tplc="9D321D5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574B5D"/>
    <w:multiLevelType w:val="hybridMultilevel"/>
    <w:tmpl w:val="4EA21D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BE03CA"/>
    <w:multiLevelType w:val="hybridMultilevel"/>
    <w:tmpl w:val="8DAEC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0E5AF9"/>
    <w:multiLevelType w:val="hybridMultilevel"/>
    <w:tmpl w:val="A858E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4082F82"/>
    <w:multiLevelType w:val="hybridMultilevel"/>
    <w:tmpl w:val="AC76D0C0"/>
    <w:lvl w:ilvl="0" w:tplc="178C9B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57B420F"/>
    <w:multiLevelType w:val="hybridMultilevel"/>
    <w:tmpl w:val="ADEA5D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C715578"/>
    <w:multiLevelType w:val="hybridMultilevel"/>
    <w:tmpl w:val="43A48068"/>
    <w:lvl w:ilvl="0" w:tplc="32B83B1E">
      <w:start w:val="1"/>
      <w:numFmt w:val="bullet"/>
      <w:pStyle w:val="Reference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45538373">
    <w:abstractNumId w:val="7"/>
  </w:num>
  <w:num w:numId="2" w16cid:durableId="1224100526">
    <w:abstractNumId w:val="39"/>
  </w:num>
  <w:num w:numId="3" w16cid:durableId="1269267838">
    <w:abstractNumId w:val="24"/>
  </w:num>
  <w:num w:numId="4" w16cid:durableId="1792934587">
    <w:abstractNumId w:val="7"/>
  </w:num>
  <w:num w:numId="5" w16cid:durableId="398984978">
    <w:abstractNumId w:val="18"/>
  </w:num>
  <w:num w:numId="6" w16cid:durableId="1711491000">
    <w:abstractNumId w:val="8"/>
  </w:num>
  <w:num w:numId="7" w16cid:durableId="1389835831">
    <w:abstractNumId w:val="30"/>
  </w:num>
  <w:num w:numId="8" w16cid:durableId="1581595270">
    <w:abstractNumId w:val="35"/>
  </w:num>
  <w:num w:numId="9" w16cid:durableId="971983080">
    <w:abstractNumId w:val="0"/>
  </w:num>
  <w:num w:numId="10" w16cid:durableId="1560628545">
    <w:abstractNumId w:val="41"/>
  </w:num>
  <w:num w:numId="11" w16cid:durableId="1895966269">
    <w:abstractNumId w:val="26"/>
  </w:num>
  <w:num w:numId="12" w16cid:durableId="288975919">
    <w:abstractNumId w:val="15"/>
  </w:num>
  <w:num w:numId="13" w16cid:durableId="1595825104">
    <w:abstractNumId w:val="16"/>
  </w:num>
  <w:num w:numId="14" w16cid:durableId="389427299">
    <w:abstractNumId w:val="45"/>
  </w:num>
  <w:num w:numId="15" w16cid:durableId="1326088107">
    <w:abstractNumId w:val="6"/>
  </w:num>
  <w:num w:numId="16" w16cid:durableId="1199200212">
    <w:abstractNumId w:val="31"/>
  </w:num>
  <w:num w:numId="17" w16cid:durableId="1120151965">
    <w:abstractNumId w:val="5"/>
  </w:num>
  <w:num w:numId="18" w16cid:durableId="1796174488">
    <w:abstractNumId w:val="38"/>
  </w:num>
  <w:num w:numId="19" w16cid:durableId="1552424792">
    <w:abstractNumId w:val="23"/>
  </w:num>
  <w:num w:numId="20" w16cid:durableId="1589534415">
    <w:abstractNumId w:val="26"/>
    <w:lvlOverride w:ilvl="0">
      <w:startOverride w:val="1"/>
    </w:lvlOverride>
  </w:num>
  <w:num w:numId="21" w16cid:durableId="1552962026">
    <w:abstractNumId w:val="43"/>
  </w:num>
  <w:num w:numId="22" w16cid:durableId="658383010">
    <w:abstractNumId w:val="19"/>
  </w:num>
  <w:num w:numId="23" w16cid:durableId="375591055">
    <w:abstractNumId w:val="17"/>
  </w:num>
  <w:num w:numId="24" w16cid:durableId="550772202">
    <w:abstractNumId w:val="29"/>
  </w:num>
  <w:num w:numId="25" w16cid:durableId="1276983454">
    <w:abstractNumId w:val="27"/>
  </w:num>
  <w:num w:numId="26" w16cid:durableId="730541721">
    <w:abstractNumId w:val="37"/>
  </w:num>
  <w:num w:numId="27" w16cid:durableId="1994482158">
    <w:abstractNumId w:val="12"/>
  </w:num>
  <w:num w:numId="28" w16cid:durableId="471676908">
    <w:abstractNumId w:val="3"/>
  </w:num>
  <w:num w:numId="29" w16cid:durableId="2031760162">
    <w:abstractNumId w:val="36"/>
  </w:num>
  <w:num w:numId="30" w16cid:durableId="2072149727">
    <w:abstractNumId w:val="2"/>
  </w:num>
  <w:num w:numId="31" w16cid:durableId="1777480698">
    <w:abstractNumId w:val="22"/>
  </w:num>
  <w:num w:numId="32" w16cid:durableId="1374844284">
    <w:abstractNumId w:val="42"/>
  </w:num>
  <w:num w:numId="33" w16cid:durableId="735859193">
    <w:abstractNumId w:val="1"/>
  </w:num>
  <w:num w:numId="34" w16cid:durableId="593896887">
    <w:abstractNumId w:val="4"/>
  </w:num>
  <w:num w:numId="35" w16cid:durableId="80612885">
    <w:abstractNumId w:val="40"/>
  </w:num>
  <w:num w:numId="36" w16cid:durableId="1301955089">
    <w:abstractNumId w:val="25"/>
  </w:num>
  <w:num w:numId="37" w16cid:durableId="643387427">
    <w:abstractNumId w:val="11"/>
  </w:num>
  <w:num w:numId="38" w16cid:durableId="495727423">
    <w:abstractNumId w:val="33"/>
  </w:num>
  <w:num w:numId="39" w16cid:durableId="1173447913">
    <w:abstractNumId w:val="34"/>
  </w:num>
  <w:num w:numId="40" w16cid:durableId="2037151764">
    <w:abstractNumId w:val="28"/>
  </w:num>
  <w:num w:numId="41" w16cid:durableId="612591037">
    <w:abstractNumId w:val="20"/>
  </w:num>
  <w:num w:numId="42" w16cid:durableId="1361206612">
    <w:abstractNumId w:val="9"/>
  </w:num>
  <w:num w:numId="43" w16cid:durableId="1568221179">
    <w:abstractNumId w:val="10"/>
  </w:num>
  <w:num w:numId="44" w16cid:durableId="1593932586">
    <w:abstractNumId w:val="44"/>
  </w:num>
  <w:num w:numId="45" w16cid:durableId="175389489">
    <w:abstractNumId w:val="9"/>
    <w:lvlOverride w:ilvl="0">
      <w:startOverride w:val="1"/>
    </w:lvlOverride>
    <w:lvlOverride w:ilvl="1"/>
    <w:lvlOverride w:ilvl="2"/>
    <w:lvlOverride w:ilvl="3"/>
    <w:lvlOverride w:ilvl="4"/>
    <w:lvlOverride w:ilvl="5"/>
    <w:lvlOverride w:ilvl="6"/>
    <w:lvlOverride w:ilvl="7"/>
    <w:lvlOverride w:ilvl="8"/>
  </w:num>
  <w:num w:numId="46" w16cid:durableId="353306432">
    <w:abstractNumId w:val="13"/>
  </w:num>
  <w:num w:numId="47" w16cid:durableId="1052654664">
    <w:abstractNumId w:val="14"/>
  </w:num>
  <w:num w:numId="48" w16cid:durableId="1107234779">
    <w:abstractNumId w:val="21"/>
  </w:num>
  <w:num w:numId="49" w16cid:durableId="66185267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vWmYU3AtWZdEN/R8spIFxFxeKIW7IbnS95KOHHK4emIlJKO4eTv+n2Nnu3Z941r4EZ3HxiMWZh+wQpjiXKM1Q==" w:salt="z2hz9o9WkifLGfzpevPP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zNDEwNbW0NAWS5ko6SsGpxcWZ+XkgBaa1AJeahIYsAAAA"/>
  </w:docVars>
  <w:rsids>
    <w:rsidRoot w:val="00E83C66"/>
    <w:rsid w:val="00001C87"/>
    <w:rsid w:val="00003E35"/>
    <w:rsid w:val="00005FC7"/>
    <w:rsid w:val="00006013"/>
    <w:rsid w:val="0001261F"/>
    <w:rsid w:val="00021009"/>
    <w:rsid w:val="00023A66"/>
    <w:rsid w:val="0002435C"/>
    <w:rsid w:val="00026645"/>
    <w:rsid w:val="00027427"/>
    <w:rsid w:val="00032724"/>
    <w:rsid w:val="00035AE8"/>
    <w:rsid w:val="00036678"/>
    <w:rsid w:val="000373DD"/>
    <w:rsid w:val="00044DF9"/>
    <w:rsid w:val="00056931"/>
    <w:rsid w:val="00057CD1"/>
    <w:rsid w:val="00062885"/>
    <w:rsid w:val="000650D3"/>
    <w:rsid w:val="000679D2"/>
    <w:rsid w:val="0008094D"/>
    <w:rsid w:val="000950C8"/>
    <w:rsid w:val="000A0ECA"/>
    <w:rsid w:val="000A44A4"/>
    <w:rsid w:val="000A58B9"/>
    <w:rsid w:val="000C2886"/>
    <w:rsid w:val="000D080C"/>
    <w:rsid w:val="000D4937"/>
    <w:rsid w:val="000E080A"/>
    <w:rsid w:val="000E2D8B"/>
    <w:rsid w:val="000E39F7"/>
    <w:rsid w:val="000F1BE5"/>
    <w:rsid w:val="000F3665"/>
    <w:rsid w:val="000F4219"/>
    <w:rsid w:val="000F48EC"/>
    <w:rsid w:val="000F53A2"/>
    <w:rsid w:val="000F5E8F"/>
    <w:rsid w:val="000F68E2"/>
    <w:rsid w:val="001026FB"/>
    <w:rsid w:val="001123BA"/>
    <w:rsid w:val="00115837"/>
    <w:rsid w:val="001179FD"/>
    <w:rsid w:val="001208FF"/>
    <w:rsid w:val="00127BC4"/>
    <w:rsid w:val="0013271A"/>
    <w:rsid w:val="00135DDB"/>
    <w:rsid w:val="00141994"/>
    <w:rsid w:val="00142209"/>
    <w:rsid w:val="001432AE"/>
    <w:rsid w:val="00145D93"/>
    <w:rsid w:val="001479B1"/>
    <w:rsid w:val="00151086"/>
    <w:rsid w:val="00152265"/>
    <w:rsid w:val="00161742"/>
    <w:rsid w:val="00165BA2"/>
    <w:rsid w:val="00167AD4"/>
    <w:rsid w:val="00170656"/>
    <w:rsid w:val="00173AC1"/>
    <w:rsid w:val="0017424B"/>
    <w:rsid w:val="001807FA"/>
    <w:rsid w:val="00180953"/>
    <w:rsid w:val="00182398"/>
    <w:rsid w:val="00185BCE"/>
    <w:rsid w:val="001860C1"/>
    <w:rsid w:val="00190AC9"/>
    <w:rsid w:val="001939C7"/>
    <w:rsid w:val="00193BAB"/>
    <w:rsid w:val="001946BB"/>
    <w:rsid w:val="001948E2"/>
    <w:rsid w:val="0019612A"/>
    <w:rsid w:val="0019640D"/>
    <w:rsid w:val="001A101D"/>
    <w:rsid w:val="001A2340"/>
    <w:rsid w:val="001A23AA"/>
    <w:rsid w:val="001A51F3"/>
    <w:rsid w:val="001B0E46"/>
    <w:rsid w:val="001B694A"/>
    <w:rsid w:val="001B6C1D"/>
    <w:rsid w:val="001C246F"/>
    <w:rsid w:val="001D0190"/>
    <w:rsid w:val="001D0EF0"/>
    <w:rsid w:val="001D2CF1"/>
    <w:rsid w:val="001D5D77"/>
    <w:rsid w:val="001E4A10"/>
    <w:rsid w:val="001E5484"/>
    <w:rsid w:val="001F2BF8"/>
    <w:rsid w:val="001F4159"/>
    <w:rsid w:val="00200BBF"/>
    <w:rsid w:val="00203C6F"/>
    <w:rsid w:val="0020740C"/>
    <w:rsid w:val="00214BDA"/>
    <w:rsid w:val="00224A5C"/>
    <w:rsid w:val="002363A1"/>
    <w:rsid w:val="00236EDC"/>
    <w:rsid w:val="002415D5"/>
    <w:rsid w:val="0024547E"/>
    <w:rsid w:val="002477FF"/>
    <w:rsid w:val="00247AF8"/>
    <w:rsid w:val="00250BA1"/>
    <w:rsid w:val="00251EF7"/>
    <w:rsid w:val="002523EC"/>
    <w:rsid w:val="0027038D"/>
    <w:rsid w:val="00273205"/>
    <w:rsid w:val="00273B12"/>
    <w:rsid w:val="00274A7A"/>
    <w:rsid w:val="002813EC"/>
    <w:rsid w:val="0028454D"/>
    <w:rsid w:val="00287772"/>
    <w:rsid w:val="002A0803"/>
    <w:rsid w:val="002B0761"/>
    <w:rsid w:val="002B318E"/>
    <w:rsid w:val="002B3ADD"/>
    <w:rsid w:val="002B45DB"/>
    <w:rsid w:val="002B48E1"/>
    <w:rsid w:val="002C3506"/>
    <w:rsid w:val="002C4029"/>
    <w:rsid w:val="002C5EE8"/>
    <w:rsid w:val="002D1A25"/>
    <w:rsid w:val="002D31BF"/>
    <w:rsid w:val="002D4BB4"/>
    <w:rsid w:val="002E2BA7"/>
    <w:rsid w:val="002E580B"/>
    <w:rsid w:val="002F21FA"/>
    <w:rsid w:val="002F2DEA"/>
    <w:rsid w:val="002F47EB"/>
    <w:rsid w:val="002F6F07"/>
    <w:rsid w:val="00302122"/>
    <w:rsid w:val="00303331"/>
    <w:rsid w:val="0030335E"/>
    <w:rsid w:val="003036A6"/>
    <w:rsid w:val="00306E44"/>
    <w:rsid w:val="00310E09"/>
    <w:rsid w:val="00312482"/>
    <w:rsid w:val="00316F74"/>
    <w:rsid w:val="00320AAD"/>
    <w:rsid w:val="00323120"/>
    <w:rsid w:val="003249D2"/>
    <w:rsid w:val="003263E8"/>
    <w:rsid w:val="003268BD"/>
    <w:rsid w:val="00326BD8"/>
    <w:rsid w:val="003310A9"/>
    <w:rsid w:val="00331784"/>
    <w:rsid w:val="00333A28"/>
    <w:rsid w:val="0034155F"/>
    <w:rsid w:val="0034160F"/>
    <w:rsid w:val="00341D88"/>
    <w:rsid w:val="0034272F"/>
    <w:rsid w:val="00343C0A"/>
    <w:rsid w:val="00352F67"/>
    <w:rsid w:val="003552BC"/>
    <w:rsid w:val="003558F4"/>
    <w:rsid w:val="00357F6B"/>
    <w:rsid w:val="00360805"/>
    <w:rsid w:val="00360FFA"/>
    <w:rsid w:val="00361167"/>
    <w:rsid w:val="00361FB3"/>
    <w:rsid w:val="00371B84"/>
    <w:rsid w:val="0037508C"/>
    <w:rsid w:val="00375C79"/>
    <w:rsid w:val="0037618C"/>
    <w:rsid w:val="00380C33"/>
    <w:rsid w:val="00386DAA"/>
    <w:rsid w:val="003931A7"/>
    <w:rsid w:val="0039379F"/>
    <w:rsid w:val="003950CB"/>
    <w:rsid w:val="0039609D"/>
    <w:rsid w:val="0039672B"/>
    <w:rsid w:val="003A034F"/>
    <w:rsid w:val="003A4127"/>
    <w:rsid w:val="003A4B07"/>
    <w:rsid w:val="003A5260"/>
    <w:rsid w:val="003B3F51"/>
    <w:rsid w:val="003B5125"/>
    <w:rsid w:val="003C03D6"/>
    <w:rsid w:val="003C09BD"/>
    <w:rsid w:val="003C21D1"/>
    <w:rsid w:val="003C2558"/>
    <w:rsid w:val="003C542A"/>
    <w:rsid w:val="003C551F"/>
    <w:rsid w:val="003D2022"/>
    <w:rsid w:val="003D2D84"/>
    <w:rsid w:val="003D53B2"/>
    <w:rsid w:val="003E1AF0"/>
    <w:rsid w:val="003E5AD7"/>
    <w:rsid w:val="003E6C58"/>
    <w:rsid w:val="003E7840"/>
    <w:rsid w:val="003F0113"/>
    <w:rsid w:val="003F2C46"/>
    <w:rsid w:val="003F440F"/>
    <w:rsid w:val="003F5886"/>
    <w:rsid w:val="003F646D"/>
    <w:rsid w:val="003F7161"/>
    <w:rsid w:val="003F7598"/>
    <w:rsid w:val="00400E02"/>
    <w:rsid w:val="0040159E"/>
    <w:rsid w:val="004024D1"/>
    <w:rsid w:val="00403F47"/>
    <w:rsid w:val="004049C5"/>
    <w:rsid w:val="0041005A"/>
    <w:rsid w:val="004114D6"/>
    <w:rsid w:val="00412661"/>
    <w:rsid w:val="00413F90"/>
    <w:rsid w:val="0041687B"/>
    <w:rsid w:val="00420944"/>
    <w:rsid w:val="00431819"/>
    <w:rsid w:val="00432CCD"/>
    <w:rsid w:val="00434323"/>
    <w:rsid w:val="004358D3"/>
    <w:rsid w:val="00435C78"/>
    <w:rsid w:val="00442AB7"/>
    <w:rsid w:val="0044347D"/>
    <w:rsid w:val="004438CF"/>
    <w:rsid w:val="00447C21"/>
    <w:rsid w:val="004532C6"/>
    <w:rsid w:val="00461131"/>
    <w:rsid w:val="00462329"/>
    <w:rsid w:val="004651C9"/>
    <w:rsid w:val="00481F6C"/>
    <w:rsid w:val="00484CDA"/>
    <w:rsid w:val="00485359"/>
    <w:rsid w:val="004864D7"/>
    <w:rsid w:val="004912A2"/>
    <w:rsid w:val="004968DC"/>
    <w:rsid w:val="004A28EF"/>
    <w:rsid w:val="004A4D94"/>
    <w:rsid w:val="004A5F57"/>
    <w:rsid w:val="004B05FA"/>
    <w:rsid w:val="004B25D8"/>
    <w:rsid w:val="004B6FA7"/>
    <w:rsid w:val="004B7BBD"/>
    <w:rsid w:val="004C0D86"/>
    <w:rsid w:val="004C2598"/>
    <w:rsid w:val="004C31F8"/>
    <w:rsid w:val="004C7302"/>
    <w:rsid w:val="004D46F6"/>
    <w:rsid w:val="004D5B8A"/>
    <w:rsid w:val="004E5EB8"/>
    <w:rsid w:val="004F04D7"/>
    <w:rsid w:val="004F2781"/>
    <w:rsid w:val="004F7AC7"/>
    <w:rsid w:val="00502B61"/>
    <w:rsid w:val="00503CB0"/>
    <w:rsid w:val="005060CF"/>
    <w:rsid w:val="00511857"/>
    <w:rsid w:val="0051526F"/>
    <w:rsid w:val="0051593E"/>
    <w:rsid w:val="00515CB1"/>
    <w:rsid w:val="00517DC6"/>
    <w:rsid w:val="00521A7D"/>
    <w:rsid w:val="00521D64"/>
    <w:rsid w:val="005221E5"/>
    <w:rsid w:val="0053459F"/>
    <w:rsid w:val="00535162"/>
    <w:rsid w:val="0053551A"/>
    <w:rsid w:val="00537F63"/>
    <w:rsid w:val="00541CF7"/>
    <w:rsid w:val="005432DD"/>
    <w:rsid w:val="00545443"/>
    <w:rsid w:val="00547308"/>
    <w:rsid w:val="00547AA5"/>
    <w:rsid w:val="00551458"/>
    <w:rsid w:val="0055256C"/>
    <w:rsid w:val="005529B0"/>
    <w:rsid w:val="00561F39"/>
    <w:rsid w:val="00565352"/>
    <w:rsid w:val="00566A34"/>
    <w:rsid w:val="0056786A"/>
    <w:rsid w:val="00571654"/>
    <w:rsid w:val="00572DB9"/>
    <w:rsid w:val="0057400B"/>
    <w:rsid w:val="00581703"/>
    <w:rsid w:val="0058556A"/>
    <w:rsid w:val="00592565"/>
    <w:rsid w:val="0059282E"/>
    <w:rsid w:val="005A3AFA"/>
    <w:rsid w:val="005A3CDA"/>
    <w:rsid w:val="005A5F28"/>
    <w:rsid w:val="005A633C"/>
    <w:rsid w:val="005A7119"/>
    <w:rsid w:val="005B4BAE"/>
    <w:rsid w:val="005B7464"/>
    <w:rsid w:val="005B7F7A"/>
    <w:rsid w:val="005C2350"/>
    <w:rsid w:val="005D05B1"/>
    <w:rsid w:val="005D105B"/>
    <w:rsid w:val="005D27FE"/>
    <w:rsid w:val="005D416F"/>
    <w:rsid w:val="005D56F3"/>
    <w:rsid w:val="005D75B4"/>
    <w:rsid w:val="005D79FA"/>
    <w:rsid w:val="005E0948"/>
    <w:rsid w:val="005E6901"/>
    <w:rsid w:val="005F346E"/>
    <w:rsid w:val="005F3D83"/>
    <w:rsid w:val="00613294"/>
    <w:rsid w:val="00614CB9"/>
    <w:rsid w:val="006179D7"/>
    <w:rsid w:val="0062204F"/>
    <w:rsid w:val="006247FA"/>
    <w:rsid w:val="00626457"/>
    <w:rsid w:val="00633002"/>
    <w:rsid w:val="00641666"/>
    <w:rsid w:val="00641F7D"/>
    <w:rsid w:val="00643FC9"/>
    <w:rsid w:val="00644539"/>
    <w:rsid w:val="0064598F"/>
    <w:rsid w:val="00645AA0"/>
    <w:rsid w:val="00647492"/>
    <w:rsid w:val="0065325B"/>
    <w:rsid w:val="00655F53"/>
    <w:rsid w:val="00656044"/>
    <w:rsid w:val="00656D13"/>
    <w:rsid w:val="00661A75"/>
    <w:rsid w:val="00665B7C"/>
    <w:rsid w:val="006706F6"/>
    <w:rsid w:val="006837B0"/>
    <w:rsid w:val="00683C92"/>
    <w:rsid w:val="0068627A"/>
    <w:rsid w:val="006876AB"/>
    <w:rsid w:val="00690E0E"/>
    <w:rsid w:val="00692AD5"/>
    <w:rsid w:val="00694531"/>
    <w:rsid w:val="00696EFE"/>
    <w:rsid w:val="006A333F"/>
    <w:rsid w:val="006A6B10"/>
    <w:rsid w:val="006B05B0"/>
    <w:rsid w:val="006B7253"/>
    <w:rsid w:val="006B7712"/>
    <w:rsid w:val="006C3870"/>
    <w:rsid w:val="006D277B"/>
    <w:rsid w:val="006E062E"/>
    <w:rsid w:val="006E0F10"/>
    <w:rsid w:val="006E5307"/>
    <w:rsid w:val="006F1403"/>
    <w:rsid w:val="006F2BD8"/>
    <w:rsid w:val="006F4888"/>
    <w:rsid w:val="006F5452"/>
    <w:rsid w:val="006F5C79"/>
    <w:rsid w:val="007015BE"/>
    <w:rsid w:val="00703459"/>
    <w:rsid w:val="007039EB"/>
    <w:rsid w:val="00716C9C"/>
    <w:rsid w:val="00721E7A"/>
    <w:rsid w:val="00723434"/>
    <w:rsid w:val="00731A8B"/>
    <w:rsid w:val="007333E4"/>
    <w:rsid w:val="0073466F"/>
    <w:rsid w:val="007411B0"/>
    <w:rsid w:val="00743437"/>
    <w:rsid w:val="00747226"/>
    <w:rsid w:val="0074774F"/>
    <w:rsid w:val="00747D63"/>
    <w:rsid w:val="007525E6"/>
    <w:rsid w:val="00756EF7"/>
    <w:rsid w:val="00761FA3"/>
    <w:rsid w:val="00763A33"/>
    <w:rsid w:val="00767B99"/>
    <w:rsid w:val="00770D4B"/>
    <w:rsid w:val="00773A05"/>
    <w:rsid w:val="00776295"/>
    <w:rsid w:val="00781AFA"/>
    <w:rsid w:val="0078680E"/>
    <w:rsid w:val="0079308C"/>
    <w:rsid w:val="00793DEE"/>
    <w:rsid w:val="00796319"/>
    <w:rsid w:val="007A2F8D"/>
    <w:rsid w:val="007A3942"/>
    <w:rsid w:val="007A4CEB"/>
    <w:rsid w:val="007A6AB9"/>
    <w:rsid w:val="007A703C"/>
    <w:rsid w:val="007C0674"/>
    <w:rsid w:val="007D0860"/>
    <w:rsid w:val="007D49ED"/>
    <w:rsid w:val="007E0EAC"/>
    <w:rsid w:val="007F080F"/>
    <w:rsid w:val="007F2776"/>
    <w:rsid w:val="007F3BE3"/>
    <w:rsid w:val="007F5A80"/>
    <w:rsid w:val="007F76B7"/>
    <w:rsid w:val="0080432B"/>
    <w:rsid w:val="0081160F"/>
    <w:rsid w:val="00812579"/>
    <w:rsid w:val="008133B0"/>
    <w:rsid w:val="00813FDD"/>
    <w:rsid w:val="00817B1C"/>
    <w:rsid w:val="00824D10"/>
    <w:rsid w:val="00834811"/>
    <w:rsid w:val="00835CDA"/>
    <w:rsid w:val="0083681D"/>
    <w:rsid w:val="00850521"/>
    <w:rsid w:val="0085244E"/>
    <w:rsid w:val="00854C79"/>
    <w:rsid w:val="00855246"/>
    <w:rsid w:val="00857AF2"/>
    <w:rsid w:val="00857D13"/>
    <w:rsid w:val="00864066"/>
    <w:rsid w:val="008662CB"/>
    <w:rsid w:val="00870582"/>
    <w:rsid w:val="008767A0"/>
    <w:rsid w:val="00884745"/>
    <w:rsid w:val="00885377"/>
    <w:rsid w:val="008875AD"/>
    <w:rsid w:val="00890C0E"/>
    <w:rsid w:val="00891257"/>
    <w:rsid w:val="0089223A"/>
    <w:rsid w:val="00893011"/>
    <w:rsid w:val="0089560C"/>
    <w:rsid w:val="008A1C28"/>
    <w:rsid w:val="008A7289"/>
    <w:rsid w:val="008B6321"/>
    <w:rsid w:val="008C5DE7"/>
    <w:rsid w:val="008C6935"/>
    <w:rsid w:val="008C732D"/>
    <w:rsid w:val="008C759F"/>
    <w:rsid w:val="008D1B76"/>
    <w:rsid w:val="008D52D9"/>
    <w:rsid w:val="008D6C16"/>
    <w:rsid w:val="008E223E"/>
    <w:rsid w:val="008F6069"/>
    <w:rsid w:val="008F6407"/>
    <w:rsid w:val="008F7C48"/>
    <w:rsid w:val="009017A2"/>
    <w:rsid w:val="00903B75"/>
    <w:rsid w:val="00904B9E"/>
    <w:rsid w:val="00913319"/>
    <w:rsid w:val="00913C81"/>
    <w:rsid w:val="00914836"/>
    <w:rsid w:val="00915E09"/>
    <w:rsid w:val="0091775F"/>
    <w:rsid w:val="00921203"/>
    <w:rsid w:val="00924D4C"/>
    <w:rsid w:val="00925D95"/>
    <w:rsid w:val="0093064C"/>
    <w:rsid w:val="009311B8"/>
    <w:rsid w:val="009331B2"/>
    <w:rsid w:val="00933A85"/>
    <w:rsid w:val="00934454"/>
    <w:rsid w:val="00934919"/>
    <w:rsid w:val="00942F3B"/>
    <w:rsid w:val="0094328F"/>
    <w:rsid w:val="00944F42"/>
    <w:rsid w:val="00946787"/>
    <w:rsid w:val="009510E4"/>
    <w:rsid w:val="009529B3"/>
    <w:rsid w:val="00952F29"/>
    <w:rsid w:val="0095396C"/>
    <w:rsid w:val="00955587"/>
    <w:rsid w:val="0096376B"/>
    <w:rsid w:val="0096381D"/>
    <w:rsid w:val="00966BAA"/>
    <w:rsid w:val="00971FA7"/>
    <w:rsid w:val="009727D6"/>
    <w:rsid w:val="00974382"/>
    <w:rsid w:val="00977019"/>
    <w:rsid w:val="00977956"/>
    <w:rsid w:val="00980C6C"/>
    <w:rsid w:val="009827DB"/>
    <w:rsid w:val="00983558"/>
    <w:rsid w:val="00984721"/>
    <w:rsid w:val="0098487D"/>
    <w:rsid w:val="0098586D"/>
    <w:rsid w:val="00986C24"/>
    <w:rsid w:val="00987128"/>
    <w:rsid w:val="00990069"/>
    <w:rsid w:val="0099141A"/>
    <w:rsid w:val="009975EE"/>
    <w:rsid w:val="00997659"/>
    <w:rsid w:val="009A1A10"/>
    <w:rsid w:val="009A2B89"/>
    <w:rsid w:val="009A325F"/>
    <w:rsid w:val="009A4190"/>
    <w:rsid w:val="009B21F3"/>
    <w:rsid w:val="009C34A6"/>
    <w:rsid w:val="009C3964"/>
    <w:rsid w:val="009C64D5"/>
    <w:rsid w:val="009C7155"/>
    <w:rsid w:val="009D28E8"/>
    <w:rsid w:val="009D3C59"/>
    <w:rsid w:val="009D5234"/>
    <w:rsid w:val="009E2C50"/>
    <w:rsid w:val="009E48D1"/>
    <w:rsid w:val="009E7120"/>
    <w:rsid w:val="009E76E0"/>
    <w:rsid w:val="009F106E"/>
    <w:rsid w:val="009F147B"/>
    <w:rsid w:val="009F2FB2"/>
    <w:rsid w:val="009F379A"/>
    <w:rsid w:val="009F3CD7"/>
    <w:rsid w:val="009F495B"/>
    <w:rsid w:val="009F60DF"/>
    <w:rsid w:val="009F793C"/>
    <w:rsid w:val="00A00E16"/>
    <w:rsid w:val="00A02ED4"/>
    <w:rsid w:val="00A0376A"/>
    <w:rsid w:val="00A07375"/>
    <w:rsid w:val="00A16527"/>
    <w:rsid w:val="00A16CB2"/>
    <w:rsid w:val="00A23014"/>
    <w:rsid w:val="00A238E8"/>
    <w:rsid w:val="00A34E93"/>
    <w:rsid w:val="00A34F87"/>
    <w:rsid w:val="00A44140"/>
    <w:rsid w:val="00A51C33"/>
    <w:rsid w:val="00A51D73"/>
    <w:rsid w:val="00A62C68"/>
    <w:rsid w:val="00A63AD5"/>
    <w:rsid w:val="00A704EE"/>
    <w:rsid w:val="00A7080C"/>
    <w:rsid w:val="00A7324A"/>
    <w:rsid w:val="00A74F61"/>
    <w:rsid w:val="00A75F2A"/>
    <w:rsid w:val="00A7767F"/>
    <w:rsid w:val="00A82270"/>
    <w:rsid w:val="00A82D0A"/>
    <w:rsid w:val="00A861FE"/>
    <w:rsid w:val="00A866B1"/>
    <w:rsid w:val="00A87E4E"/>
    <w:rsid w:val="00A93496"/>
    <w:rsid w:val="00AA054A"/>
    <w:rsid w:val="00AA0E7B"/>
    <w:rsid w:val="00AA2DB4"/>
    <w:rsid w:val="00AA77AA"/>
    <w:rsid w:val="00AB5625"/>
    <w:rsid w:val="00AB5FFA"/>
    <w:rsid w:val="00AC5E59"/>
    <w:rsid w:val="00AD29EE"/>
    <w:rsid w:val="00AD5DD0"/>
    <w:rsid w:val="00AD7577"/>
    <w:rsid w:val="00AE0E89"/>
    <w:rsid w:val="00AE6B64"/>
    <w:rsid w:val="00AF3702"/>
    <w:rsid w:val="00AF6D9B"/>
    <w:rsid w:val="00AF7A9C"/>
    <w:rsid w:val="00B00BA2"/>
    <w:rsid w:val="00B0221B"/>
    <w:rsid w:val="00B02888"/>
    <w:rsid w:val="00B1162A"/>
    <w:rsid w:val="00B140AC"/>
    <w:rsid w:val="00B1523B"/>
    <w:rsid w:val="00B211F5"/>
    <w:rsid w:val="00B26BC0"/>
    <w:rsid w:val="00B32818"/>
    <w:rsid w:val="00B33076"/>
    <w:rsid w:val="00B34E46"/>
    <w:rsid w:val="00B37609"/>
    <w:rsid w:val="00B448FF"/>
    <w:rsid w:val="00B4565F"/>
    <w:rsid w:val="00B5403B"/>
    <w:rsid w:val="00B57456"/>
    <w:rsid w:val="00B6423F"/>
    <w:rsid w:val="00B7076B"/>
    <w:rsid w:val="00B71E59"/>
    <w:rsid w:val="00B73F57"/>
    <w:rsid w:val="00B802D9"/>
    <w:rsid w:val="00B8340C"/>
    <w:rsid w:val="00B87200"/>
    <w:rsid w:val="00B917CE"/>
    <w:rsid w:val="00B92C4C"/>
    <w:rsid w:val="00BA0737"/>
    <w:rsid w:val="00BA2628"/>
    <w:rsid w:val="00BA47E9"/>
    <w:rsid w:val="00BA5689"/>
    <w:rsid w:val="00BA59D4"/>
    <w:rsid w:val="00BB1D07"/>
    <w:rsid w:val="00BB20F2"/>
    <w:rsid w:val="00BB4167"/>
    <w:rsid w:val="00BB48AA"/>
    <w:rsid w:val="00BB50BD"/>
    <w:rsid w:val="00BC10C0"/>
    <w:rsid w:val="00BD117A"/>
    <w:rsid w:val="00BE0C8B"/>
    <w:rsid w:val="00BE22FC"/>
    <w:rsid w:val="00BE2E59"/>
    <w:rsid w:val="00BE36F4"/>
    <w:rsid w:val="00BE4D6D"/>
    <w:rsid w:val="00BE5563"/>
    <w:rsid w:val="00BE765E"/>
    <w:rsid w:val="00BF1406"/>
    <w:rsid w:val="00BF174A"/>
    <w:rsid w:val="00BF634E"/>
    <w:rsid w:val="00C013FB"/>
    <w:rsid w:val="00C035A7"/>
    <w:rsid w:val="00C047D6"/>
    <w:rsid w:val="00C068F7"/>
    <w:rsid w:val="00C06D95"/>
    <w:rsid w:val="00C10A49"/>
    <w:rsid w:val="00C11A23"/>
    <w:rsid w:val="00C1555F"/>
    <w:rsid w:val="00C15C81"/>
    <w:rsid w:val="00C168CC"/>
    <w:rsid w:val="00C2040F"/>
    <w:rsid w:val="00C252DF"/>
    <w:rsid w:val="00C3123A"/>
    <w:rsid w:val="00C31FE5"/>
    <w:rsid w:val="00C3262E"/>
    <w:rsid w:val="00C503DA"/>
    <w:rsid w:val="00C54C9D"/>
    <w:rsid w:val="00C64E95"/>
    <w:rsid w:val="00C70E03"/>
    <w:rsid w:val="00C72861"/>
    <w:rsid w:val="00C77A63"/>
    <w:rsid w:val="00C85274"/>
    <w:rsid w:val="00C94B7A"/>
    <w:rsid w:val="00C95FCE"/>
    <w:rsid w:val="00C96E42"/>
    <w:rsid w:val="00CA1513"/>
    <w:rsid w:val="00CA706A"/>
    <w:rsid w:val="00CB0F04"/>
    <w:rsid w:val="00CB457C"/>
    <w:rsid w:val="00CB5E9C"/>
    <w:rsid w:val="00CB5ECE"/>
    <w:rsid w:val="00CB6622"/>
    <w:rsid w:val="00CB772E"/>
    <w:rsid w:val="00CC4222"/>
    <w:rsid w:val="00CC4648"/>
    <w:rsid w:val="00CC4B76"/>
    <w:rsid w:val="00CD3EBA"/>
    <w:rsid w:val="00CD41C1"/>
    <w:rsid w:val="00CE22D1"/>
    <w:rsid w:val="00CF1121"/>
    <w:rsid w:val="00CF42CA"/>
    <w:rsid w:val="00CF5D14"/>
    <w:rsid w:val="00D03A33"/>
    <w:rsid w:val="00D04CA9"/>
    <w:rsid w:val="00D0776C"/>
    <w:rsid w:val="00D13A1C"/>
    <w:rsid w:val="00D13B20"/>
    <w:rsid w:val="00D24F9E"/>
    <w:rsid w:val="00D26B2E"/>
    <w:rsid w:val="00D31D08"/>
    <w:rsid w:val="00D324D4"/>
    <w:rsid w:val="00D3299B"/>
    <w:rsid w:val="00D32FCD"/>
    <w:rsid w:val="00D355FA"/>
    <w:rsid w:val="00D435FB"/>
    <w:rsid w:val="00D44B67"/>
    <w:rsid w:val="00D5030F"/>
    <w:rsid w:val="00D51C91"/>
    <w:rsid w:val="00D52A92"/>
    <w:rsid w:val="00D565E0"/>
    <w:rsid w:val="00D60C82"/>
    <w:rsid w:val="00D61801"/>
    <w:rsid w:val="00D62E9D"/>
    <w:rsid w:val="00D6465A"/>
    <w:rsid w:val="00D6471C"/>
    <w:rsid w:val="00D6535F"/>
    <w:rsid w:val="00D75272"/>
    <w:rsid w:val="00D763A0"/>
    <w:rsid w:val="00D77768"/>
    <w:rsid w:val="00D77F0E"/>
    <w:rsid w:val="00D80BC7"/>
    <w:rsid w:val="00D81D77"/>
    <w:rsid w:val="00D83656"/>
    <w:rsid w:val="00D84DEF"/>
    <w:rsid w:val="00D85A4D"/>
    <w:rsid w:val="00D878A2"/>
    <w:rsid w:val="00D87ADE"/>
    <w:rsid w:val="00D91957"/>
    <w:rsid w:val="00D94606"/>
    <w:rsid w:val="00D94DC7"/>
    <w:rsid w:val="00DA207D"/>
    <w:rsid w:val="00DA43EF"/>
    <w:rsid w:val="00DA50AB"/>
    <w:rsid w:val="00DA6373"/>
    <w:rsid w:val="00DA6898"/>
    <w:rsid w:val="00DB1904"/>
    <w:rsid w:val="00DB2195"/>
    <w:rsid w:val="00DB4462"/>
    <w:rsid w:val="00DB690F"/>
    <w:rsid w:val="00DB7BE4"/>
    <w:rsid w:val="00DC4B4E"/>
    <w:rsid w:val="00DC56F7"/>
    <w:rsid w:val="00DC6BC1"/>
    <w:rsid w:val="00DD1964"/>
    <w:rsid w:val="00DD2C27"/>
    <w:rsid w:val="00DD3EC9"/>
    <w:rsid w:val="00DD4C82"/>
    <w:rsid w:val="00DD72FD"/>
    <w:rsid w:val="00DE2078"/>
    <w:rsid w:val="00DE4EDB"/>
    <w:rsid w:val="00DE5F0F"/>
    <w:rsid w:val="00DE6B93"/>
    <w:rsid w:val="00DF53DC"/>
    <w:rsid w:val="00DF546B"/>
    <w:rsid w:val="00E02748"/>
    <w:rsid w:val="00E02794"/>
    <w:rsid w:val="00E02EB3"/>
    <w:rsid w:val="00E1434F"/>
    <w:rsid w:val="00E237BF"/>
    <w:rsid w:val="00E26932"/>
    <w:rsid w:val="00E40774"/>
    <w:rsid w:val="00E41DC1"/>
    <w:rsid w:val="00E44353"/>
    <w:rsid w:val="00E45F49"/>
    <w:rsid w:val="00E57F18"/>
    <w:rsid w:val="00E6086E"/>
    <w:rsid w:val="00E63FE4"/>
    <w:rsid w:val="00E67648"/>
    <w:rsid w:val="00E70B23"/>
    <w:rsid w:val="00E72BD0"/>
    <w:rsid w:val="00E768F3"/>
    <w:rsid w:val="00E83C66"/>
    <w:rsid w:val="00E85FF0"/>
    <w:rsid w:val="00E933BF"/>
    <w:rsid w:val="00E95149"/>
    <w:rsid w:val="00E95339"/>
    <w:rsid w:val="00EA5CA5"/>
    <w:rsid w:val="00EA6E66"/>
    <w:rsid w:val="00EA78BB"/>
    <w:rsid w:val="00EB33A1"/>
    <w:rsid w:val="00EB6ECF"/>
    <w:rsid w:val="00EC0326"/>
    <w:rsid w:val="00EC0791"/>
    <w:rsid w:val="00EC3273"/>
    <w:rsid w:val="00EC32AE"/>
    <w:rsid w:val="00EC60A1"/>
    <w:rsid w:val="00EC6389"/>
    <w:rsid w:val="00EC702D"/>
    <w:rsid w:val="00ED0DAF"/>
    <w:rsid w:val="00ED2366"/>
    <w:rsid w:val="00ED7060"/>
    <w:rsid w:val="00ED7C8A"/>
    <w:rsid w:val="00EE22F5"/>
    <w:rsid w:val="00EE3527"/>
    <w:rsid w:val="00EE3DFC"/>
    <w:rsid w:val="00EE455F"/>
    <w:rsid w:val="00EE51EC"/>
    <w:rsid w:val="00EE6A28"/>
    <w:rsid w:val="00EF0329"/>
    <w:rsid w:val="00EF0D5B"/>
    <w:rsid w:val="00EF1CD6"/>
    <w:rsid w:val="00EF1CF5"/>
    <w:rsid w:val="00EF31C2"/>
    <w:rsid w:val="00EF4A47"/>
    <w:rsid w:val="00EF71D5"/>
    <w:rsid w:val="00F01F6D"/>
    <w:rsid w:val="00F02A8A"/>
    <w:rsid w:val="00F10F0C"/>
    <w:rsid w:val="00F1230A"/>
    <w:rsid w:val="00F12BB5"/>
    <w:rsid w:val="00F132AA"/>
    <w:rsid w:val="00F140E1"/>
    <w:rsid w:val="00F16A21"/>
    <w:rsid w:val="00F20B6C"/>
    <w:rsid w:val="00F2211B"/>
    <w:rsid w:val="00F22E1E"/>
    <w:rsid w:val="00F24018"/>
    <w:rsid w:val="00F2717B"/>
    <w:rsid w:val="00F321FC"/>
    <w:rsid w:val="00F34C5E"/>
    <w:rsid w:val="00F3711C"/>
    <w:rsid w:val="00F37647"/>
    <w:rsid w:val="00F4137E"/>
    <w:rsid w:val="00F42B3C"/>
    <w:rsid w:val="00F43222"/>
    <w:rsid w:val="00F45410"/>
    <w:rsid w:val="00F465B4"/>
    <w:rsid w:val="00F51737"/>
    <w:rsid w:val="00F54268"/>
    <w:rsid w:val="00F556DE"/>
    <w:rsid w:val="00F57B58"/>
    <w:rsid w:val="00F57E1F"/>
    <w:rsid w:val="00F66DA7"/>
    <w:rsid w:val="00F70696"/>
    <w:rsid w:val="00F71253"/>
    <w:rsid w:val="00F7127C"/>
    <w:rsid w:val="00F72C85"/>
    <w:rsid w:val="00F863CC"/>
    <w:rsid w:val="00FA1C34"/>
    <w:rsid w:val="00FA30F5"/>
    <w:rsid w:val="00FA5C0B"/>
    <w:rsid w:val="00FB404F"/>
    <w:rsid w:val="00FB49CB"/>
    <w:rsid w:val="00FD0974"/>
    <w:rsid w:val="00FD25B9"/>
    <w:rsid w:val="00FD6D26"/>
    <w:rsid w:val="00FE2FEC"/>
    <w:rsid w:val="00FE3EEF"/>
    <w:rsid w:val="00FE580B"/>
    <w:rsid w:val="00FE6F5A"/>
    <w:rsid w:val="00FE7024"/>
    <w:rsid w:val="00FF2DA0"/>
    <w:rsid w:val="00FF2F68"/>
    <w:rsid w:val="00FF4964"/>
    <w:rsid w:val="00FF5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FB3C3"/>
  <w15:docId w15:val="{0CCAE2AD-EF65-486E-A33A-A69B7864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7FF"/>
    <w:pPr>
      <w:spacing w:before="60" w:after="60"/>
    </w:pPr>
    <w:rPr>
      <w:rFonts w:ascii="Arial" w:hAnsi="Arial"/>
    </w:rPr>
  </w:style>
  <w:style w:type="paragraph" w:styleId="Heading1">
    <w:name w:val="heading 1"/>
    <w:basedOn w:val="Header"/>
    <w:next w:val="Normal"/>
    <w:link w:val="Heading1Char"/>
    <w:uiPriority w:val="9"/>
    <w:qFormat/>
    <w:rsid w:val="001179FD"/>
    <w:pPr>
      <w:spacing w:after="0"/>
      <w:outlineLvl w:val="0"/>
    </w:pPr>
    <w:rPr>
      <w:b/>
      <w:bCs/>
      <w:sz w:val="44"/>
      <w:szCs w:val="44"/>
    </w:rPr>
  </w:style>
  <w:style w:type="paragraph" w:styleId="Heading2">
    <w:name w:val="heading 2"/>
    <w:basedOn w:val="Normal"/>
    <w:next w:val="Normal"/>
    <w:link w:val="Heading2Char"/>
    <w:uiPriority w:val="9"/>
    <w:unhideWhenUsed/>
    <w:qFormat/>
    <w:rsid w:val="00ED2366"/>
    <w:pPr>
      <w:keepLines/>
      <w:numPr>
        <w:numId w:val="11"/>
      </w:numPr>
      <w:spacing w:before="40" w:after="0"/>
      <w:ind w:left="357" w:hanging="357"/>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B7253"/>
    <w:pPr>
      <w:keepNext/>
      <w:keepLines/>
      <w:spacing w:before="40" w:after="0"/>
      <w:outlineLvl w:val="2"/>
    </w:pPr>
    <w:rPr>
      <w:rFonts w:eastAsiaTheme="majorEastAsia" w:cstheme="majorBidi"/>
      <w:b/>
      <w:szCs w:val="24"/>
      <w:u w:val="single"/>
    </w:rPr>
  </w:style>
  <w:style w:type="paragraph" w:styleId="Heading4">
    <w:name w:val="heading 4"/>
    <w:basedOn w:val="Normal"/>
    <w:next w:val="Normal"/>
    <w:link w:val="Heading4Char"/>
    <w:uiPriority w:val="9"/>
    <w:unhideWhenUsed/>
    <w:qFormat/>
    <w:rsid w:val="006B7253"/>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407"/>
    <w:pPr>
      <w:tabs>
        <w:tab w:val="right" w:pos="10433"/>
      </w:tabs>
      <w:spacing w:after="120" w:line="240" w:lineRule="auto"/>
    </w:pPr>
  </w:style>
  <w:style w:type="character" w:customStyle="1" w:styleId="HeaderChar">
    <w:name w:val="Header Char"/>
    <w:basedOn w:val="DefaultParagraphFont"/>
    <w:link w:val="Header"/>
    <w:uiPriority w:val="99"/>
    <w:rsid w:val="008F6407"/>
  </w:style>
  <w:style w:type="paragraph" w:styleId="Footer">
    <w:name w:val="footer"/>
    <w:basedOn w:val="Normal"/>
    <w:link w:val="FooterChar"/>
    <w:uiPriority w:val="99"/>
    <w:unhideWhenUsed/>
    <w:rsid w:val="00003E35"/>
    <w:pPr>
      <w:tabs>
        <w:tab w:val="center" w:pos="8051"/>
        <w:tab w:val="right" w:pos="10433"/>
      </w:tabs>
      <w:spacing w:before="120" w:after="0" w:line="240" w:lineRule="auto"/>
      <w:contextualSpacing/>
    </w:pPr>
    <w:rPr>
      <w:sz w:val="20"/>
      <w:szCs w:val="20"/>
    </w:rPr>
  </w:style>
  <w:style w:type="character" w:customStyle="1" w:styleId="FooterChar">
    <w:name w:val="Footer Char"/>
    <w:basedOn w:val="DefaultParagraphFont"/>
    <w:link w:val="Footer"/>
    <w:uiPriority w:val="99"/>
    <w:rsid w:val="00003E35"/>
    <w:rPr>
      <w:rFonts w:ascii="Arial" w:hAnsi="Arial"/>
      <w:sz w:val="20"/>
      <w:szCs w:val="20"/>
    </w:rPr>
  </w:style>
  <w:style w:type="paragraph" w:customStyle="1" w:styleId="References">
    <w:name w:val="References"/>
    <w:basedOn w:val="ListParagraph"/>
    <w:qFormat/>
    <w:rsid w:val="00A34F87"/>
    <w:pPr>
      <w:numPr>
        <w:numId w:val="14"/>
      </w:numPr>
      <w:spacing w:after="0" w:line="240" w:lineRule="auto"/>
    </w:pPr>
  </w:style>
  <w:style w:type="character" w:styleId="Strong">
    <w:name w:val="Strong"/>
    <w:basedOn w:val="DefaultParagraphFont"/>
    <w:uiPriority w:val="22"/>
    <w:qFormat/>
    <w:rsid w:val="00E83C66"/>
    <w:rPr>
      <w:b/>
      <w:bCs/>
    </w:rPr>
  </w:style>
  <w:style w:type="character" w:styleId="FollowedHyperlink">
    <w:name w:val="FollowedHyperlink"/>
    <w:basedOn w:val="DefaultParagraphFont"/>
    <w:uiPriority w:val="99"/>
    <w:semiHidden/>
    <w:unhideWhenUsed/>
    <w:rsid w:val="00747226"/>
    <w:rPr>
      <w:color w:val="954F72" w:themeColor="followedHyperlink"/>
      <w:u w:val="single"/>
    </w:rPr>
  </w:style>
  <w:style w:type="table" w:styleId="TableGrid">
    <w:name w:val="Table Grid"/>
    <w:basedOn w:val="TableNormal"/>
    <w:uiPriority w:val="39"/>
    <w:rsid w:val="00BB5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D2366"/>
    <w:rPr>
      <w:rFonts w:eastAsiaTheme="majorEastAsia" w:cstheme="majorBidi"/>
      <w:b/>
      <w:szCs w:val="26"/>
    </w:rPr>
  </w:style>
  <w:style w:type="character" w:customStyle="1" w:styleId="Heading1Char">
    <w:name w:val="Heading 1 Char"/>
    <w:basedOn w:val="DefaultParagraphFont"/>
    <w:link w:val="Heading1"/>
    <w:uiPriority w:val="9"/>
    <w:rsid w:val="001179FD"/>
    <w:rPr>
      <w:b/>
      <w:bCs/>
      <w:sz w:val="44"/>
      <w:szCs w:val="44"/>
    </w:rPr>
  </w:style>
  <w:style w:type="character" w:customStyle="1" w:styleId="Heading3Char">
    <w:name w:val="Heading 3 Char"/>
    <w:basedOn w:val="DefaultParagraphFont"/>
    <w:link w:val="Heading3"/>
    <w:uiPriority w:val="9"/>
    <w:rsid w:val="006B7253"/>
    <w:rPr>
      <w:rFonts w:ascii="Arial" w:eastAsiaTheme="majorEastAsia" w:hAnsi="Arial" w:cstheme="majorBidi"/>
      <w:b/>
      <w:szCs w:val="24"/>
      <w:u w:val="single"/>
    </w:rPr>
  </w:style>
  <w:style w:type="paragraph" w:styleId="Title">
    <w:name w:val="Title"/>
    <w:basedOn w:val="Normal"/>
    <w:next w:val="Normal"/>
    <w:link w:val="TitleChar"/>
    <w:uiPriority w:val="10"/>
    <w:qFormat/>
    <w:rsid w:val="001522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26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D1A25"/>
    <w:rPr>
      <w:color w:val="0563C1" w:themeColor="hyperlink"/>
      <w:u w:val="single"/>
    </w:rPr>
  </w:style>
  <w:style w:type="character" w:customStyle="1" w:styleId="UnresolvedMention1">
    <w:name w:val="Unresolved Mention1"/>
    <w:basedOn w:val="DefaultParagraphFont"/>
    <w:uiPriority w:val="99"/>
    <w:semiHidden/>
    <w:unhideWhenUsed/>
    <w:rsid w:val="002D1A25"/>
    <w:rPr>
      <w:color w:val="605E5C"/>
      <w:shd w:val="clear" w:color="auto" w:fill="E1DFDD"/>
    </w:rPr>
  </w:style>
  <w:style w:type="character" w:styleId="CommentReference">
    <w:name w:val="annotation reference"/>
    <w:basedOn w:val="DefaultParagraphFont"/>
    <w:uiPriority w:val="99"/>
    <w:semiHidden/>
    <w:unhideWhenUsed/>
    <w:rsid w:val="00592565"/>
    <w:rPr>
      <w:sz w:val="16"/>
      <w:szCs w:val="16"/>
    </w:rPr>
  </w:style>
  <w:style w:type="paragraph" w:styleId="CommentText">
    <w:name w:val="annotation text"/>
    <w:basedOn w:val="Normal"/>
    <w:link w:val="CommentTextChar"/>
    <w:uiPriority w:val="99"/>
    <w:unhideWhenUsed/>
    <w:rsid w:val="00592565"/>
    <w:pPr>
      <w:spacing w:line="240" w:lineRule="auto"/>
    </w:pPr>
    <w:rPr>
      <w:sz w:val="20"/>
      <w:szCs w:val="20"/>
    </w:rPr>
  </w:style>
  <w:style w:type="character" w:customStyle="1" w:styleId="CommentTextChar">
    <w:name w:val="Comment Text Char"/>
    <w:basedOn w:val="DefaultParagraphFont"/>
    <w:link w:val="CommentText"/>
    <w:uiPriority w:val="99"/>
    <w:rsid w:val="00592565"/>
    <w:rPr>
      <w:sz w:val="20"/>
      <w:szCs w:val="20"/>
    </w:rPr>
  </w:style>
  <w:style w:type="paragraph" w:styleId="CommentSubject">
    <w:name w:val="annotation subject"/>
    <w:basedOn w:val="CommentText"/>
    <w:next w:val="CommentText"/>
    <w:link w:val="CommentSubjectChar"/>
    <w:uiPriority w:val="99"/>
    <w:semiHidden/>
    <w:unhideWhenUsed/>
    <w:rsid w:val="00592565"/>
    <w:rPr>
      <w:b/>
      <w:bCs/>
    </w:rPr>
  </w:style>
  <w:style w:type="character" w:customStyle="1" w:styleId="CommentSubjectChar">
    <w:name w:val="Comment Subject Char"/>
    <w:basedOn w:val="CommentTextChar"/>
    <w:link w:val="CommentSubject"/>
    <w:uiPriority w:val="99"/>
    <w:semiHidden/>
    <w:rsid w:val="00592565"/>
    <w:rPr>
      <w:b/>
      <w:bCs/>
      <w:sz w:val="20"/>
      <w:szCs w:val="20"/>
    </w:rPr>
  </w:style>
  <w:style w:type="paragraph" w:styleId="ListParagraph">
    <w:name w:val="List Paragraph"/>
    <w:basedOn w:val="Normal"/>
    <w:uiPriority w:val="34"/>
    <w:qFormat/>
    <w:rsid w:val="00694531"/>
    <w:pPr>
      <w:ind w:left="720"/>
    </w:pPr>
  </w:style>
  <w:style w:type="paragraph" w:customStyle="1" w:styleId="Default">
    <w:name w:val="Default"/>
    <w:rsid w:val="00DA50AB"/>
    <w:pPr>
      <w:autoSpaceDE w:val="0"/>
      <w:autoSpaceDN w:val="0"/>
      <w:adjustRightInd w:val="0"/>
      <w:spacing w:after="0" w:line="240" w:lineRule="auto"/>
    </w:pPr>
    <w:rPr>
      <w:rFonts w:ascii="Calibri" w:hAnsi="Calibri" w:cs="Calibri"/>
      <w:color w:val="000000"/>
      <w:sz w:val="24"/>
      <w:szCs w:val="24"/>
    </w:rPr>
  </w:style>
  <w:style w:type="table" w:customStyle="1" w:styleId="TableGridLight1">
    <w:name w:val="Table Grid Light1"/>
    <w:basedOn w:val="TableNormal"/>
    <w:uiPriority w:val="40"/>
    <w:rsid w:val="00C728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A77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7F"/>
    <w:rPr>
      <w:rFonts w:ascii="Tahoma" w:hAnsi="Tahoma" w:cs="Tahoma"/>
      <w:sz w:val="16"/>
      <w:szCs w:val="16"/>
    </w:rPr>
  </w:style>
  <w:style w:type="character" w:styleId="UnresolvedMention">
    <w:name w:val="Unresolved Mention"/>
    <w:basedOn w:val="DefaultParagraphFont"/>
    <w:uiPriority w:val="99"/>
    <w:semiHidden/>
    <w:unhideWhenUsed/>
    <w:rsid w:val="00904B9E"/>
    <w:rPr>
      <w:color w:val="605E5C"/>
      <w:shd w:val="clear" w:color="auto" w:fill="E1DFDD"/>
    </w:rPr>
  </w:style>
  <w:style w:type="character" w:customStyle="1" w:styleId="Heading4Char">
    <w:name w:val="Heading 4 Char"/>
    <w:basedOn w:val="DefaultParagraphFont"/>
    <w:link w:val="Heading4"/>
    <w:uiPriority w:val="9"/>
    <w:rsid w:val="006B7253"/>
    <w:rPr>
      <w:rFonts w:ascii="Arial" w:eastAsiaTheme="majorEastAsia" w:hAnsi="Arial" w:cstheme="majorBidi"/>
      <w:b/>
      <w:iCs/>
    </w:rPr>
  </w:style>
  <w:style w:type="paragraph" w:styleId="Revision">
    <w:name w:val="Revision"/>
    <w:hidden/>
    <w:uiPriority w:val="99"/>
    <w:semiHidden/>
    <w:rsid w:val="00E41DC1"/>
    <w:pPr>
      <w:spacing w:after="0" w:line="240" w:lineRule="auto"/>
    </w:pPr>
    <w:rPr>
      <w:rFonts w:ascii="Arial" w:hAnsi="Arial"/>
    </w:rPr>
  </w:style>
  <w:style w:type="paragraph" w:styleId="TOCHeading">
    <w:name w:val="TOC Heading"/>
    <w:basedOn w:val="Heading1"/>
    <w:next w:val="Normal"/>
    <w:uiPriority w:val="39"/>
    <w:unhideWhenUsed/>
    <w:qFormat/>
    <w:rsid w:val="00BF174A"/>
    <w:pPr>
      <w:keepNext/>
      <w:keepLines/>
      <w:tabs>
        <w:tab w:val="clear" w:pos="10433"/>
      </w:tab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2">
    <w:name w:val="toc 2"/>
    <w:basedOn w:val="Normal"/>
    <w:next w:val="Normal"/>
    <w:autoRedefine/>
    <w:uiPriority w:val="39"/>
    <w:unhideWhenUsed/>
    <w:rsid w:val="00BF174A"/>
    <w:pPr>
      <w:spacing w:after="100"/>
      <w:ind w:left="220"/>
    </w:pPr>
  </w:style>
  <w:style w:type="paragraph" w:styleId="TOC3">
    <w:name w:val="toc 3"/>
    <w:basedOn w:val="Normal"/>
    <w:next w:val="Normal"/>
    <w:autoRedefine/>
    <w:uiPriority w:val="39"/>
    <w:unhideWhenUsed/>
    <w:rsid w:val="00BF174A"/>
    <w:pPr>
      <w:spacing w:after="100"/>
      <w:ind w:left="440"/>
    </w:pPr>
  </w:style>
  <w:style w:type="character" w:styleId="PlaceholderText">
    <w:name w:val="Placeholder Text"/>
    <w:basedOn w:val="DefaultParagraphFont"/>
    <w:uiPriority w:val="99"/>
    <w:semiHidden/>
    <w:rsid w:val="00E443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076">
      <w:bodyDiv w:val="1"/>
      <w:marLeft w:val="0"/>
      <w:marRight w:val="0"/>
      <w:marTop w:val="0"/>
      <w:marBottom w:val="0"/>
      <w:divBdr>
        <w:top w:val="none" w:sz="0" w:space="0" w:color="auto"/>
        <w:left w:val="none" w:sz="0" w:space="0" w:color="auto"/>
        <w:bottom w:val="none" w:sz="0" w:space="0" w:color="auto"/>
        <w:right w:val="none" w:sz="0" w:space="0" w:color="auto"/>
      </w:divBdr>
    </w:div>
    <w:div w:id="98724605">
      <w:bodyDiv w:val="1"/>
      <w:marLeft w:val="0"/>
      <w:marRight w:val="0"/>
      <w:marTop w:val="0"/>
      <w:marBottom w:val="0"/>
      <w:divBdr>
        <w:top w:val="none" w:sz="0" w:space="0" w:color="auto"/>
        <w:left w:val="none" w:sz="0" w:space="0" w:color="auto"/>
        <w:bottom w:val="none" w:sz="0" w:space="0" w:color="auto"/>
        <w:right w:val="none" w:sz="0" w:space="0" w:color="auto"/>
      </w:divBdr>
    </w:div>
    <w:div w:id="392434290">
      <w:bodyDiv w:val="1"/>
      <w:marLeft w:val="0"/>
      <w:marRight w:val="0"/>
      <w:marTop w:val="0"/>
      <w:marBottom w:val="0"/>
      <w:divBdr>
        <w:top w:val="none" w:sz="0" w:space="0" w:color="auto"/>
        <w:left w:val="none" w:sz="0" w:space="0" w:color="auto"/>
        <w:bottom w:val="none" w:sz="0" w:space="0" w:color="auto"/>
        <w:right w:val="none" w:sz="0" w:space="0" w:color="auto"/>
      </w:divBdr>
    </w:div>
    <w:div w:id="442118525">
      <w:bodyDiv w:val="1"/>
      <w:marLeft w:val="0"/>
      <w:marRight w:val="0"/>
      <w:marTop w:val="0"/>
      <w:marBottom w:val="0"/>
      <w:divBdr>
        <w:top w:val="none" w:sz="0" w:space="0" w:color="auto"/>
        <w:left w:val="none" w:sz="0" w:space="0" w:color="auto"/>
        <w:bottom w:val="none" w:sz="0" w:space="0" w:color="auto"/>
        <w:right w:val="none" w:sz="0" w:space="0" w:color="auto"/>
      </w:divBdr>
    </w:div>
    <w:div w:id="611598489">
      <w:bodyDiv w:val="1"/>
      <w:marLeft w:val="0"/>
      <w:marRight w:val="0"/>
      <w:marTop w:val="0"/>
      <w:marBottom w:val="0"/>
      <w:divBdr>
        <w:top w:val="none" w:sz="0" w:space="0" w:color="auto"/>
        <w:left w:val="none" w:sz="0" w:space="0" w:color="auto"/>
        <w:bottom w:val="none" w:sz="0" w:space="0" w:color="auto"/>
        <w:right w:val="none" w:sz="0" w:space="0" w:color="auto"/>
      </w:divBdr>
    </w:div>
    <w:div w:id="758213889">
      <w:bodyDiv w:val="1"/>
      <w:marLeft w:val="0"/>
      <w:marRight w:val="0"/>
      <w:marTop w:val="0"/>
      <w:marBottom w:val="0"/>
      <w:divBdr>
        <w:top w:val="none" w:sz="0" w:space="0" w:color="auto"/>
        <w:left w:val="none" w:sz="0" w:space="0" w:color="auto"/>
        <w:bottom w:val="none" w:sz="0" w:space="0" w:color="auto"/>
        <w:right w:val="none" w:sz="0" w:space="0" w:color="auto"/>
      </w:divBdr>
    </w:div>
    <w:div w:id="788476080">
      <w:bodyDiv w:val="1"/>
      <w:marLeft w:val="0"/>
      <w:marRight w:val="0"/>
      <w:marTop w:val="0"/>
      <w:marBottom w:val="0"/>
      <w:divBdr>
        <w:top w:val="none" w:sz="0" w:space="0" w:color="auto"/>
        <w:left w:val="none" w:sz="0" w:space="0" w:color="auto"/>
        <w:bottom w:val="none" w:sz="0" w:space="0" w:color="auto"/>
        <w:right w:val="none" w:sz="0" w:space="0" w:color="auto"/>
      </w:divBdr>
    </w:div>
    <w:div w:id="831526969">
      <w:bodyDiv w:val="1"/>
      <w:marLeft w:val="0"/>
      <w:marRight w:val="0"/>
      <w:marTop w:val="0"/>
      <w:marBottom w:val="0"/>
      <w:divBdr>
        <w:top w:val="none" w:sz="0" w:space="0" w:color="auto"/>
        <w:left w:val="none" w:sz="0" w:space="0" w:color="auto"/>
        <w:bottom w:val="none" w:sz="0" w:space="0" w:color="auto"/>
        <w:right w:val="none" w:sz="0" w:space="0" w:color="auto"/>
      </w:divBdr>
    </w:div>
    <w:div w:id="967393288">
      <w:bodyDiv w:val="1"/>
      <w:marLeft w:val="0"/>
      <w:marRight w:val="0"/>
      <w:marTop w:val="0"/>
      <w:marBottom w:val="0"/>
      <w:divBdr>
        <w:top w:val="none" w:sz="0" w:space="0" w:color="auto"/>
        <w:left w:val="none" w:sz="0" w:space="0" w:color="auto"/>
        <w:bottom w:val="none" w:sz="0" w:space="0" w:color="auto"/>
        <w:right w:val="none" w:sz="0" w:space="0" w:color="auto"/>
      </w:divBdr>
    </w:div>
    <w:div w:id="1046831858">
      <w:bodyDiv w:val="1"/>
      <w:marLeft w:val="0"/>
      <w:marRight w:val="0"/>
      <w:marTop w:val="0"/>
      <w:marBottom w:val="0"/>
      <w:divBdr>
        <w:top w:val="none" w:sz="0" w:space="0" w:color="auto"/>
        <w:left w:val="none" w:sz="0" w:space="0" w:color="auto"/>
        <w:bottom w:val="none" w:sz="0" w:space="0" w:color="auto"/>
        <w:right w:val="none" w:sz="0" w:space="0" w:color="auto"/>
      </w:divBdr>
    </w:div>
    <w:div w:id="1260218562">
      <w:bodyDiv w:val="1"/>
      <w:marLeft w:val="0"/>
      <w:marRight w:val="0"/>
      <w:marTop w:val="0"/>
      <w:marBottom w:val="0"/>
      <w:divBdr>
        <w:top w:val="none" w:sz="0" w:space="0" w:color="auto"/>
        <w:left w:val="none" w:sz="0" w:space="0" w:color="auto"/>
        <w:bottom w:val="none" w:sz="0" w:space="0" w:color="auto"/>
        <w:right w:val="none" w:sz="0" w:space="0" w:color="auto"/>
      </w:divBdr>
    </w:div>
    <w:div w:id="1312754261">
      <w:bodyDiv w:val="1"/>
      <w:marLeft w:val="0"/>
      <w:marRight w:val="0"/>
      <w:marTop w:val="0"/>
      <w:marBottom w:val="0"/>
      <w:divBdr>
        <w:top w:val="none" w:sz="0" w:space="0" w:color="auto"/>
        <w:left w:val="none" w:sz="0" w:space="0" w:color="auto"/>
        <w:bottom w:val="none" w:sz="0" w:space="0" w:color="auto"/>
        <w:right w:val="none" w:sz="0" w:space="0" w:color="auto"/>
      </w:divBdr>
    </w:div>
    <w:div w:id="1434281738">
      <w:bodyDiv w:val="1"/>
      <w:marLeft w:val="0"/>
      <w:marRight w:val="0"/>
      <w:marTop w:val="0"/>
      <w:marBottom w:val="0"/>
      <w:divBdr>
        <w:top w:val="none" w:sz="0" w:space="0" w:color="auto"/>
        <w:left w:val="none" w:sz="0" w:space="0" w:color="auto"/>
        <w:bottom w:val="none" w:sz="0" w:space="0" w:color="auto"/>
        <w:right w:val="none" w:sz="0" w:space="0" w:color="auto"/>
      </w:divBdr>
    </w:div>
    <w:div w:id="1468887476">
      <w:bodyDiv w:val="1"/>
      <w:marLeft w:val="0"/>
      <w:marRight w:val="0"/>
      <w:marTop w:val="0"/>
      <w:marBottom w:val="0"/>
      <w:divBdr>
        <w:top w:val="none" w:sz="0" w:space="0" w:color="auto"/>
        <w:left w:val="none" w:sz="0" w:space="0" w:color="auto"/>
        <w:bottom w:val="none" w:sz="0" w:space="0" w:color="auto"/>
        <w:right w:val="none" w:sz="0" w:space="0" w:color="auto"/>
      </w:divBdr>
      <w:divsChild>
        <w:div w:id="2101481922">
          <w:marLeft w:val="0"/>
          <w:marRight w:val="0"/>
          <w:marTop w:val="480"/>
          <w:marBottom w:val="480"/>
          <w:divBdr>
            <w:top w:val="none" w:sz="0" w:space="0" w:color="auto"/>
            <w:left w:val="none" w:sz="0" w:space="0" w:color="auto"/>
            <w:bottom w:val="none" w:sz="0" w:space="0" w:color="auto"/>
            <w:right w:val="none" w:sz="0" w:space="0" w:color="auto"/>
          </w:divBdr>
        </w:div>
      </w:divsChild>
    </w:div>
    <w:div w:id="1583103760">
      <w:bodyDiv w:val="1"/>
      <w:marLeft w:val="0"/>
      <w:marRight w:val="0"/>
      <w:marTop w:val="0"/>
      <w:marBottom w:val="0"/>
      <w:divBdr>
        <w:top w:val="none" w:sz="0" w:space="0" w:color="auto"/>
        <w:left w:val="none" w:sz="0" w:space="0" w:color="auto"/>
        <w:bottom w:val="none" w:sz="0" w:space="0" w:color="auto"/>
        <w:right w:val="none" w:sz="0" w:space="0" w:color="auto"/>
      </w:divBdr>
    </w:div>
    <w:div w:id="1733887725">
      <w:bodyDiv w:val="1"/>
      <w:marLeft w:val="0"/>
      <w:marRight w:val="0"/>
      <w:marTop w:val="0"/>
      <w:marBottom w:val="0"/>
      <w:divBdr>
        <w:top w:val="none" w:sz="0" w:space="0" w:color="auto"/>
        <w:left w:val="none" w:sz="0" w:space="0" w:color="auto"/>
        <w:bottom w:val="none" w:sz="0" w:space="0" w:color="auto"/>
        <w:right w:val="none" w:sz="0" w:space="0" w:color="auto"/>
      </w:divBdr>
    </w:div>
    <w:div w:id="1868445490">
      <w:bodyDiv w:val="1"/>
      <w:marLeft w:val="0"/>
      <w:marRight w:val="0"/>
      <w:marTop w:val="0"/>
      <w:marBottom w:val="0"/>
      <w:divBdr>
        <w:top w:val="none" w:sz="0" w:space="0" w:color="auto"/>
        <w:left w:val="none" w:sz="0" w:space="0" w:color="auto"/>
        <w:bottom w:val="none" w:sz="0" w:space="0" w:color="auto"/>
        <w:right w:val="none" w:sz="0" w:space="0" w:color="auto"/>
      </w:divBdr>
    </w:div>
    <w:div w:id="1890533152">
      <w:bodyDiv w:val="1"/>
      <w:marLeft w:val="0"/>
      <w:marRight w:val="0"/>
      <w:marTop w:val="0"/>
      <w:marBottom w:val="0"/>
      <w:divBdr>
        <w:top w:val="none" w:sz="0" w:space="0" w:color="auto"/>
        <w:left w:val="none" w:sz="0" w:space="0" w:color="auto"/>
        <w:bottom w:val="none" w:sz="0" w:space="0" w:color="auto"/>
        <w:right w:val="none" w:sz="0" w:space="0" w:color="auto"/>
      </w:divBdr>
    </w:div>
    <w:div w:id="211382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dtc.nhs.uk/prescribing-analysis-report/shared-care-protocol/" TargetMode="External"/><Relationship Id="rId18" Type="http://schemas.openxmlformats.org/officeDocument/2006/relationships/hyperlink" Target="https://www.gov.uk/drug-safety-update/amiodarone-cordarone-x-reminder-of-risks-of-treatment-and-need-for-patient-monitoring-and-supervision" TargetMode="External"/><Relationship Id="rId26" Type="http://schemas.openxmlformats.org/officeDocument/2006/relationships/hyperlink" Target="https://www.medicines.org.uk/emc/rmm/104816/Document" TargetMode="External"/><Relationship Id="rId39" Type="http://schemas.openxmlformats.org/officeDocument/2006/relationships/hyperlink" Target="https://www.newtguidelines.com/" TargetMode="External"/><Relationship Id="rId21" Type="http://schemas.openxmlformats.org/officeDocument/2006/relationships/hyperlink" Target="https://www.medicines.org.uk/emc/search?q=amiodarone" TargetMode="External"/><Relationship Id="rId34" Type="http://schemas.openxmlformats.org/officeDocument/2006/relationships/hyperlink" Target="https://www.medicines.org.uk/emc/" TargetMode="External"/><Relationship Id="rId42" Type="http://schemas.openxmlformats.org/officeDocument/2006/relationships/hyperlink" Target="https://www.gov.uk/drug-safety-update/amiodarone-cordarone-x-reminder-of-risks-of-treatment-and-need-for-patient-monitoring-and-supervision" TargetMode="External"/><Relationship Id="rId47" Type="http://schemas.openxmlformats.org/officeDocument/2006/relationships/hyperlink" Target="https://www.nice.org.uk/guidance/ng197/"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bnf.nice.org.uk/drugs/amiodarone-hydrochloride/" TargetMode="External"/><Relationship Id="rId29" Type="http://schemas.openxmlformats.org/officeDocument/2006/relationships/hyperlink" Target="mailto:nth-tr.cardiology@nhs.net" TargetMode="External"/><Relationship Id="rId11" Type="http://schemas.openxmlformats.org/officeDocument/2006/relationships/endnotes" Target="endnotes.xml"/><Relationship Id="rId24" Type="http://schemas.openxmlformats.org/officeDocument/2006/relationships/hyperlink" Target="https://www.medicines.org.uk/emc/search?q=amiodarone" TargetMode="External"/><Relationship Id="rId32" Type="http://schemas.openxmlformats.org/officeDocument/2006/relationships/hyperlink" Target="https://products.mhra.gov.uk/" TargetMode="External"/><Relationship Id="rId37" Type="http://schemas.openxmlformats.org/officeDocument/2006/relationships/hyperlink" Target="https://www.sps.nhs.uk/monitorings/amiodarone-monitoring/" TargetMode="External"/><Relationship Id="rId40" Type="http://schemas.openxmlformats.org/officeDocument/2006/relationships/hyperlink" Target="https://www.gov.uk/drug-safety-update/sofosbuvir-with-daclatasvir-sofosbuvir-and-ledipasvir-risks-of-severe-bradycardia-and-heart-block-when-taken-with-amiodarone" TargetMode="External"/><Relationship Id="rId45" Type="http://schemas.openxmlformats.org/officeDocument/2006/relationships/hyperlink" Target="https://www.england.nhs.uk/publication/responsibility-for-prescribing-between-primary-and-secondary-tertiary-care/" TargetMode="External"/><Relationship Id="rId53" Type="http://schemas.openxmlformats.org/officeDocument/2006/relationships/header" Target="header3.xml"/><Relationship Id="rId5" Type="http://schemas.openxmlformats.org/officeDocument/2006/relationships/customXml" Target="../customXml/item5.xml"/><Relationship Id="rId19" Type="http://schemas.openxmlformats.org/officeDocument/2006/relationships/hyperlink" Target="https://bnf.nice.org.uk/drugs/amiodarone-hydrochlorid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ngland.nhs.uk/long-read/items-which-should-not-routinely-be-prescribed-in-primary-care-policy-guidance/" TargetMode="External"/><Relationship Id="rId22" Type="http://schemas.openxmlformats.org/officeDocument/2006/relationships/hyperlink" Target="https://www.gov.uk/drug-safety-update/sofosbuvir-with-daclatasvir-sofosbuvir-and-ledipasvir-risks-of-severe-bradycardia-and-heart-block-when-taken-with-amiodarone" TargetMode="External"/><Relationship Id="rId27" Type="http://schemas.openxmlformats.org/officeDocument/2006/relationships/hyperlink" Target="https://www.bhf.org.uk/informationsupport/heart-matters-magazine/medical/drug-cabinet/anti-arrhythmics" TargetMode="External"/><Relationship Id="rId30" Type="http://schemas.openxmlformats.org/officeDocument/2006/relationships/hyperlink" Target="https://bnf.nice.org.uk/" TargetMode="External"/><Relationship Id="rId35" Type="http://schemas.openxmlformats.org/officeDocument/2006/relationships/hyperlink" Target="https://www.england.nhs.uk/long-read/items-which-should-not-routinely-be-prescribed-in-primary-care-policy-guidance/" TargetMode="External"/><Relationship Id="rId43" Type="http://schemas.openxmlformats.org/officeDocument/2006/relationships/hyperlink" Target="https://baets.org.uk/wp-content/uploads/2024/07/BTA-Guidelines-on-Thyroid-Function-Tests.pdf" TargetMode="External"/><Relationship Id="rId48" Type="http://schemas.openxmlformats.org/officeDocument/2006/relationships/hyperlink" Target="https://ntag.nhs.uk/shared-care-guidelines/" TargetMode="External"/><Relationship Id="rId56"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rdtc.nhs.uk/prescribing-analysis-report/shared-care-protocol/" TargetMode="External"/><Relationship Id="rId17" Type="http://schemas.openxmlformats.org/officeDocument/2006/relationships/hyperlink" Target="https://www.medicines.org.uk/emc/search?q=amiodarone" TargetMode="External"/><Relationship Id="rId25" Type="http://schemas.openxmlformats.org/officeDocument/2006/relationships/hyperlink" Target="http://www.mhra.gov.uk/yellowcard" TargetMode="External"/><Relationship Id="rId33" Type="http://schemas.openxmlformats.org/officeDocument/2006/relationships/hyperlink" Target="https://products.mhra.gov.uk/" TargetMode="External"/><Relationship Id="rId38" Type="http://schemas.openxmlformats.org/officeDocument/2006/relationships/hyperlink" Target="https://www.ncbi.nlm.nih.gov/books/NBK548109/" TargetMode="External"/><Relationship Id="rId46" Type="http://schemas.openxmlformats.org/officeDocument/2006/relationships/hyperlink" Target="https://www.gmc-uk.org/ethical-guidance/ethical-guidance-for-doctors/good-practice-in-prescribing-and-managing-medicines-and-devices/shared-care" TargetMode="External"/><Relationship Id="rId20" Type="http://schemas.openxmlformats.org/officeDocument/2006/relationships/hyperlink" Target="https://www.medicines.org.uk/emc/search?q=amiodarone" TargetMode="External"/><Relationship Id="rId41" Type="http://schemas.openxmlformats.org/officeDocument/2006/relationships/hyperlink" Target="https://www.gov.uk/drug-safety-update/simeprevir-with-sofosbuvir-risk-of-severe-bradycardia-and-heart-block-when-taken-with-amiodarone"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file:///C:\Users\mankinp\Downloads\Atrial%20fibrillation:%20NG196" TargetMode="External"/><Relationship Id="rId23" Type="http://schemas.openxmlformats.org/officeDocument/2006/relationships/hyperlink" Target="https://www.gov.uk/drug-safety-update/simeprevir-with-sofosbuvir-risk-of-severe-bradycardia-and-heart-block-when-taken-with-amiodarone" TargetMode="External"/><Relationship Id="rId28" Type="http://schemas.openxmlformats.org/officeDocument/2006/relationships/hyperlink" Target="https://www.sps.nhs.uk/medicines/amiodarone/" TargetMode="External"/><Relationship Id="rId36" Type="http://schemas.openxmlformats.org/officeDocument/2006/relationships/hyperlink" Target="https://www.nice.org.uk/guidance/ng196" TargetMode="External"/><Relationship Id="rId49" Type="http://schemas.openxmlformats.org/officeDocument/2006/relationships/header" Target="header1.xml"/><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medicines.org.uk/emc/product/101141/smpc" TargetMode="External"/><Relationship Id="rId44" Type="http://schemas.openxmlformats.org/officeDocument/2006/relationships/hyperlink" Target="https://www.nice.org.uk/guidance/ng145/" TargetMode="External"/><Relationship Id="rId5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A41C8F59FB473F8779F883F8A7C381"/>
        <w:category>
          <w:name w:val="General"/>
          <w:gallery w:val="placeholder"/>
        </w:category>
        <w:types>
          <w:type w:val="bbPlcHdr"/>
        </w:types>
        <w:behaviors>
          <w:behavior w:val="content"/>
        </w:behaviors>
        <w:guid w:val="{CEFFF3B4-D283-4FC3-9F50-08BAC46D4E93}"/>
      </w:docPartPr>
      <w:docPartBody>
        <w:p w:rsidR="00FD295B" w:rsidRDefault="00FD295B" w:rsidP="00FD295B">
          <w:pPr>
            <w:pStyle w:val="96A41C8F59FB473F8779F883F8A7C381"/>
          </w:pPr>
          <w:r w:rsidRPr="00300577">
            <w:rPr>
              <w:rStyle w:val="PlaceholderText"/>
            </w:rPr>
            <w:t>Click or tap here to enter text.</w:t>
          </w:r>
        </w:p>
      </w:docPartBody>
    </w:docPart>
    <w:docPart>
      <w:docPartPr>
        <w:name w:val="1ABAF90796E6447D9BBCE9BB02BFD34B"/>
        <w:category>
          <w:name w:val="General"/>
          <w:gallery w:val="placeholder"/>
        </w:category>
        <w:types>
          <w:type w:val="bbPlcHdr"/>
        </w:types>
        <w:behaviors>
          <w:behavior w:val="content"/>
        </w:behaviors>
        <w:guid w:val="{1B5B4144-FB22-4A71-8E80-ADF837936600}"/>
      </w:docPartPr>
      <w:docPartBody>
        <w:p w:rsidR="00000000" w:rsidRDefault="00257C43" w:rsidP="00257C43">
          <w:pPr>
            <w:pStyle w:val="1ABAF90796E6447D9BBCE9BB02BFD34B"/>
          </w:pPr>
          <w:r w:rsidRPr="0030057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95B"/>
    <w:rsid w:val="00056931"/>
    <w:rsid w:val="000A44A4"/>
    <w:rsid w:val="000F4912"/>
    <w:rsid w:val="00203C6F"/>
    <w:rsid w:val="00257C43"/>
    <w:rsid w:val="00273205"/>
    <w:rsid w:val="002D31BF"/>
    <w:rsid w:val="0034155F"/>
    <w:rsid w:val="003A3BC9"/>
    <w:rsid w:val="003C09BD"/>
    <w:rsid w:val="003C551F"/>
    <w:rsid w:val="003F7598"/>
    <w:rsid w:val="00414C22"/>
    <w:rsid w:val="00443AAE"/>
    <w:rsid w:val="00461131"/>
    <w:rsid w:val="00503CB0"/>
    <w:rsid w:val="00641666"/>
    <w:rsid w:val="00656D13"/>
    <w:rsid w:val="006744EA"/>
    <w:rsid w:val="00682261"/>
    <w:rsid w:val="006E6C06"/>
    <w:rsid w:val="007552F9"/>
    <w:rsid w:val="00891C95"/>
    <w:rsid w:val="009529B3"/>
    <w:rsid w:val="00966BAA"/>
    <w:rsid w:val="00A63AD5"/>
    <w:rsid w:val="00A7324A"/>
    <w:rsid w:val="00AC1CB1"/>
    <w:rsid w:val="00AD7577"/>
    <w:rsid w:val="00AE3345"/>
    <w:rsid w:val="00B0221B"/>
    <w:rsid w:val="00C503DA"/>
    <w:rsid w:val="00D84FC5"/>
    <w:rsid w:val="00EB1EA5"/>
    <w:rsid w:val="00EB33BD"/>
    <w:rsid w:val="00EC02F5"/>
    <w:rsid w:val="00ED21A2"/>
    <w:rsid w:val="00FD0B66"/>
    <w:rsid w:val="00FD295B"/>
    <w:rsid w:val="00FE5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7C43"/>
    <w:rPr>
      <w:color w:val="666666"/>
    </w:rPr>
  </w:style>
  <w:style w:type="paragraph" w:customStyle="1" w:styleId="96A41C8F59FB473F8779F883F8A7C381">
    <w:name w:val="96A41C8F59FB473F8779F883F8A7C381"/>
    <w:rsid w:val="00FD295B"/>
  </w:style>
  <w:style w:type="paragraph" w:customStyle="1" w:styleId="A0185F32BD684A12A453C44F9593A9D6">
    <w:name w:val="A0185F32BD684A12A453C44F9593A9D6"/>
    <w:rsid w:val="00257C43"/>
    <w:pPr>
      <w:spacing w:line="278" w:lineRule="auto"/>
    </w:pPr>
    <w:rPr>
      <w:sz w:val="24"/>
      <w:szCs w:val="24"/>
    </w:rPr>
  </w:style>
  <w:style w:type="paragraph" w:customStyle="1" w:styleId="1ABAF90796E6447D9BBCE9BB02BFD34B">
    <w:name w:val="1ABAF90796E6447D9BBCE9BB02BFD34B"/>
    <w:rsid w:val="00257C43"/>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A6E48F89C0D424190E7136144BA1E97" ma:contentTypeVersion="605" ma:contentTypeDescription="Create a new document." ma:contentTypeScope="" ma:versionID="595cf14f654417d86b93383ab8ca1e65">
  <xsd:schema xmlns:xsd="http://www.w3.org/2001/XMLSchema" xmlns:xs="http://www.w3.org/2001/XMLSchema" xmlns:p="http://schemas.microsoft.com/office/2006/metadata/properties" xmlns:ns2="9ecf9374-0d71-4a51-a9c5-198dd68970ed" xmlns:ns3="00e1733f-933a-4135-bb08-3e6c9c4393fe" targetNamespace="http://schemas.microsoft.com/office/2006/metadata/properties" ma:root="true" ma:fieldsID="3d896b4c23f1156c191ac96706335d0e" ns2:_="" ns3:_="">
    <xsd:import namespace="9ecf9374-0d71-4a51-a9c5-198dd68970ed"/>
    <xsd:import namespace="00e1733f-933a-4135-bb08-3e6c9c4393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2:SharedWithUsers" minOccurs="0"/>
                <xsd:element ref="ns2:SharedWithDetails"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f9374-0d71-4a51-a9c5-198dd68970e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483cc76-f4f0-4c37-93af-129e78472dae}" ma:internalName="TaxCatchAll" ma:showField="CatchAllData" ma:web="9ecf9374-0d71-4a51-a9c5-198dd68970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e1733f-933a-4135-bb08-3e6c9c4393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e3038f7-01d3-45c6-9ff3-08a5a011bcb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9ecf9374-0d71-4a51-a9c5-198dd68970ed">ZTN2ZK5Q2N6R-1141901798-77465</_dlc_DocId>
    <_dlc_DocIdUrl xmlns="9ecf9374-0d71-4a51-a9c5-198dd68970ed">
      <Url>https://csucloudservices.sharepoint.com/teams/quality/medicine/_layouts/15/DocIdRedir.aspx?ID=ZTN2ZK5Q2N6R-1141901798-77465</Url>
      <Description>ZTN2ZK5Q2N6R-1141901798-77465</Description>
    </_dlc_DocIdUrl>
    <TaxCatchAll xmlns="9ecf9374-0d71-4a51-a9c5-198dd68970ed" xsi:nil="true"/>
    <lcf76f155ced4ddcb4097134ff3c332f xmlns="00e1733f-933a-4135-bb08-3e6c9c4393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6AB882-76C8-4C3A-80F2-A88BAF8090B7}">
  <ds:schemaRefs>
    <ds:schemaRef ds:uri="http://schemas.microsoft.com/sharepoint/v3/contenttype/forms"/>
  </ds:schemaRefs>
</ds:datastoreItem>
</file>

<file path=customXml/itemProps2.xml><?xml version="1.0" encoding="utf-8"?>
<ds:datastoreItem xmlns:ds="http://schemas.openxmlformats.org/officeDocument/2006/customXml" ds:itemID="{093E9162-DEC7-44E8-8273-8CB87F1B73B5}">
  <ds:schemaRefs>
    <ds:schemaRef ds:uri="http://schemas.openxmlformats.org/officeDocument/2006/bibliography"/>
  </ds:schemaRefs>
</ds:datastoreItem>
</file>

<file path=customXml/itemProps3.xml><?xml version="1.0" encoding="utf-8"?>
<ds:datastoreItem xmlns:ds="http://schemas.openxmlformats.org/officeDocument/2006/customXml" ds:itemID="{97F9107A-A567-4E78-9292-8FDBF25C34F5}">
  <ds:schemaRefs>
    <ds:schemaRef ds:uri="http://schemas.microsoft.com/sharepoint/events"/>
  </ds:schemaRefs>
</ds:datastoreItem>
</file>

<file path=customXml/itemProps4.xml><?xml version="1.0" encoding="utf-8"?>
<ds:datastoreItem xmlns:ds="http://schemas.openxmlformats.org/officeDocument/2006/customXml" ds:itemID="{21040FDF-48B5-4A26-8077-4CC94FE5B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f9374-0d71-4a51-a9c5-198dd68970ed"/>
    <ds:schemaRef ds:uri="00e1733f-933a-4135-bb08-3e6c9c439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50F89DA-698B-430F-9822-AD922465335C}">
  <ds:schemaRefs>
    <ds:schemaRef ds:uri="http://schemas.microsoft.com/office/2006/metadata/properties"/>
    <ds:schemaRef ds:uri="http://schemas.microsoft.com/office/infopath/2007/PartnerControls"/>
    <ds:schemaRef ds:uri="9ecf9374-0d71-4a51-a9c5-198dd68970ed"/>
    <ds:schemaRef ds:uri="00e1733f-933a-4135-bb08-3e6c9c4393fe"/>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5282</Words>
  <Characters>30110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RLBUHT</Company>
  <LinksUpToDate>false</LinksUpToDate>
  <CharactersWithSpaces>35322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Donlon Kieron (MLCSU)</dc:creator>
  <cp:lastModifiedBy>MANKIN, Gavin (THE NEWCASTLE UPON TYNE HOSPITALS NHS FOUNDATION TRUST)</cp:lastModifiedBy>
  <cp:revision>4</cp:revision>
  <cp:lastPrinted>2022-03-11T14:19:00Z</cp:lastPrinted>
  <dcterms:created xsi:type="dcterms:W3CDTF">2026-07-24T07:03:00Z</dcterms:created>
  <dcterms:modified xsi:type="dcterms:W3CDTF">2026-07-24T07:04:00Z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0x0101000A6E48F89C0D424190E7136144BA1E97</vt:lpwstr>
  </property>
  <property fmtid="{D5CDD505-2E9C-101B-9397-08002B2CF9AE}" pid="3" name="_dlc_DocIdItemGuid">
    <vt:lpwstr>51b1480d-bcbe-4409-8965-5d4ba7a1fe1a</vt:lpwstr>
  </property>
</Properties>
</file>