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95E75" w14:textId="40D8B3CF" w:rsidR="008721EC" w:rsidRDefault="008721EC" w:rsidP="008721EC">
      <w:pPr>
        <w:pStyle w:val="Header"/>
        <w:spacing w:after="0"/>
        <w:jc w:val="right"/>
        <w:rPr>
          <w:b/>
          <w:bCs/>
        </w:rPr>
      </w:pPr>
      <w:r>
        <w:rPr>
          <w:sz w:val="28"/>
          <w:szCs w:val="32"/>
        </w:rPr>
        <w:tab/>
      </w:r>
      <w:r>
        <w:rPr>
          <w:b/>
          <w:bCs/>
          <w:noProof/>
        </w:rPr>
        <w:drawing>
          <wp:inline distT="0" distB="0" distL="0" distR="0" wp14:anchorId="2762F867" wp14:editId="600F2A5A">
            <wp:extent cx="993775" cy="603250"/>
            <wp:effectExtent l="0" t="0" r="0" b="6350"/>
            <wp:docPr id="962905968"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905968" name="Picture 1" descr="A close-up of a logo&#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3775" cy="603250"/>
                    </a:xfrm>
                    <a:prstGeom prst="rect">
                      <a:avLst/>
                    </a:prstGeom>
                    <a:noFill/>
                  </pic:spPr>
                </pic:pic>
              </a:graphicData>
            </a:graphic>
          </wp:inline>
        </w:drawing>
      </w:r>
    </w:p>
    <w:p w14:paraId="1A997E74" w14:textId="77777777" w:rsidR="008721EC" w:rsidRPr="003C21D1" w:rsidRDefault="008721EC" w:rsidP="008721EC">
      <w:pPr>
        <w:pStyle w:val="Header"/>
        <w:spacing w:after="0"/>
        <w:jc w:val="right"/>
      </w:pPr>
      <w:r w:rsidRPr="001179FD">
        <w:rPr>
          <w:rStyle w:val="Heading1Char"/>
        </w:rPr>
        <w:t>Shared care protocol</w:t>
      </w:r>
    </w:p>
    <w:p w14:paraId="096D1B50" w14:textId="0D94FAB7" w:rsidR="0037246E" w:rsidRDefault="0037246E" w:rsidP="008721EC">
      <w:pPr>
        <w:pStyle w:val="Heading2"/>
        <w:numPr>
          <w:ilvl w:val="0"/>
          <w:numId w:val="0"/>
        </w:numPr>
        <w:tabs>
          <w:tab w:val="left" w:pos="8070"/>
        </w:tabs>
        <w:ind w:left="357" w:hanging="357"/>
        <w:rPr>
          <w:sz w:val="28"/>
          <w:szCs w:val="32"/>
        </w:rPr>
      </w:pPr>
    </w:p>
    <w:p w14:paraId="30FD9445" w14:textId="46594E0C" w:rsidR="0037246E" w:rsidRPr="0037246E" w:rsidRDefault="001807C9" w:rsidP="0037246E">
      <w:pPr>
        <w:spacing w:before="120" w:after="120"/>
        <w:ind w:left="590" w:right="590"/>
        <w:jc w:val="center"/>
        <w:rPr>
          <w:b/>
          <w:sz w:val="28"/>
          <w:szCs w:val="28"/>
        </w:rPr>
      </w:pPr>
      <w:r w:rsidRPr="001807C9">
        <w:rPr>
          <w:b/>
          <w:sz w:val="28"/>
          <w:szCs w:val="28"/>
        </w:rPr>
        <w:t>DENOSUMAB FOR PRIMARY AND SECONDARY FRACTURE PREVENTION IN ADULTS</w:t>
      </w:r>
    </w:p>
    <w:tbl>
      <w:tblPr>
        <w:tblStyle w:val="TableGrid"/>
        <w:tblW w:w="10485" w:type="dxa"/>
        <w:tblLook w:val="04A0" w:firstRow="1" w:lastRow="0" w:firstColumn="1" w:lastColumn="0" w:noHBand="0" w:noVBand="1"/>
      </w:tblPr>
      <w:tblGrid>
        <w:gridCol w:w="1172"/>
        <w:gridCol w:w="1684"/>
        <w:gridCol w:w="5644"/>
        <w:gridCol w:w="1985"/>
      </w:tblGrid>
      <w:tr w:rsidR="008721EC" w:rsidRPr="00812579" w14:paraId="5487DFC0" w14:textId="77777777" w:rsidTr="00FA12C0">
        <w:tc>
          <w:tcPr>
            <w:tcW w:w="1172" w:type="dxa"/>
          </w:tcPr>
          <w:p w14:paraId="287ADB25" w14:textId="77777777" w:rsidR="008721EC" w:rsidRPr="00812579" w:rsidRDefault="008721EC" w:rsidP="00FA12C0">
            <w:pPr>
              <w:rPr>
                <w:rFonts w:cs="Arial"/>
                <w:b/>
                <w:bCs/>
              </w:rPr>
            </w:pPr>
            <w:r w:rsidRPr="00812579">
              <w:rPr>
                <w:rFonts w:cs="Arial"/>
                <w:b/>
                <w:bCs/>
              </w:rPr>
              <w:t>Version</w:t>
            </w:r>
          </w:p>
        </w:tc>
        <w:tc>
          <w:tcPr>
            <w:tcW w:w="1684" w:type="dxa"/>
          </w:tcPr>
          <w:p w14:paraId="0C35E7FF" w14:textId="77777777" w:rsidR="008721EC" w:rsidRPr="00812579" w:rsidRDefault="008721EC" w:rsidP="00FA12C0">
            <w:pPr>
              <w:rPr>
                <w:rFonts w:cs="Arial"/>
                <w:b/>
                <w:bCs/>
              </w:rPr>
            </w:pPr>
            <w:r w:rsidRPr="00812579">
              <w:rPr>
                <w:rFonts w:cs="Arial"/>
                <w:b/>
                <w:bCs/>
              </w:rPr>
              <w:t>Date published</w:t>
            </w:r>
          </w:p>
        </w:tc>
        <w:tc>
          <w:tcPr>
            <w:tcW w:w="5644" w:type="dxa"/>
          </w:tcPr>
          <w:p w14:paraId="0B11D50B" w14:textId="77777777" w:rsidR="008721EC" w:rsidRPr="00812579" w:rsidRDefault="008721EC" w:rsidP="00FA12C0">
            <w:pPr>
              <w:rPr>
                <w:rFonts w:cs="Arial"/>
                <w:b/>
                <w:bCs/>
              </w:rPr>
            </w:pPr>
            <w:r w:rsidRPr="00812579">
              <w:rPr>
                <w:rFonts w:cs="Arial"/>
                <w:b/>
                <w:bCs/>
              </w:rPr>
              <w:t>Changes</w:t>
            </w:r>
            <w:r>
              <w:rPr>
                <w:rFonts w:cs="Arial"/>
                <w:b/>
                <w:bCs/>
              </w:rPr>
              <w:t xml:space="preserve"> since previous version</w:t>
            </w:r>
          </w:p>
        </w:tc>
        <w:tc>
          <w:tcPr>
            <w:tcW w:w="1985" w:type="dxa"/>
          </w:tcPr>
          <w:p w14:paraId="4626AB56" w14:textId="77777777" w:rsidR="008721EC" w:rsidRPr="00812579" w:rsidRDefault="008721EC" w:rsidP="00FA12C0">
            <w:pPr>
              <w:rPr>
                <w:rFonts w:cs="Arial"/>
                <w:b/>
                <w:bCs/>
              </w:rPr>
            </w:pPr>
            <w:r>
              <w:rPr>
                <w:rFonts w:cs="Arial"/>
                <w:b/>
                <w:bCs/>
              </w:rPr>
              <w:t>Planned review date</w:t>
            </w:r>
          </w:p>
        </w:tc>
      </w:tr>
      <w:tr w:rsidR="00121344" w:rsidRPr="00812579" w14:paraId="60D15289" w14:textId="77777777" w:rsidTr="00FA12C0">
        <w:tc>
          <w:tcPr>
            <w:tcW w:w="1172" w:type="dxa"/>
          </w:tcPr>
          <w:p w14:paraId="59D6317C" w14:textId="582FD716" w:rsidR="00121344" w:rsidRPr="00C91620" w:rsidRDefault="00121344" w:rsidP="00FA12C0">
            <w:pPr>
              <w:rPr>
                <w:rFonts w:cs="Arial"/>
              </w:rPr>
            </w:pPr>
            <w:r>
              <w:rPr>
                <w:rFonts w:cs="Arial"/>
              </w:rPr>
              <w:t>NENC v1.1</w:t>
            </w:r>
          </w:p>
        </w:tc>
        <w:tc>
          <w:tcPr>
            <w:tcW w:w="1684" w:type="dxa"/>
          </w:tcPr>
          <w:p w14:paraId="09354EEC" w14:textId="58D9DA37" w:rsidR="00121344" w:rsidRPr="00D25636" w:rsidRDefault="00CA7519" w:rsidP="00FA12C0">
            <w:pPr>
              <w:rPr>
                <w:rFonts w:cs="Arial"/>
              </w:rPr>
            </w:pPr>
            <w:r>
              <w:rPr>
                <w:rFonts w:cs="Arial"/>
              </w:rPr>
              <w:t>9</w:t>
            </w:r>
            <w:r w:rsidRPr="00CA7519">
              <w:rPr>
                <w:rFonts w:cs="Arial"/>
                <w:vertAlign w:val="superscript"/>
              </w:rPr>
              <w:t>th</w:t>
            </w:r>
            <w:r>
              <w:rPr>
                <w:rFonts w:cs="Arial"/>
              </w:rPr>
              <w:t xml:space="preserve"> June 2025</w:t>
            </w:r>
          </w:p>
        </w:tc>
        <w:tc>
          <w:tcPr>
            <w:tcW w:w="5644" w:type="dxa"/>
          </w:tcPr>
          <w:p w14:paraId="73D45F41" w14:textId="77777777" w:rsidR="00121344" w:rsidRDefault="00121344" w:rsidP="008721EC">
            <w:pPr>
              <w:rPr>
                <w:rFonts w:cs="Arial"/>
              </w:rPr>
            </w:pPr>
            <w:r>
              <w:rPr>
                <w:rFonts w:cs="Arial"/>
              </w:rPr>
              <w:t>Replaces NENC v1.0 approved 10</w:t>
            </w:r>
            <w:r w:rsidRPr="00855D13">
              <w:rPr>
                <w:rFonts w:cs="Arial"/>
                <w:vertAlign w:val="superscript"/>
              </w:rPr>
              <w:t>th</w:t>
            </w:r>
            <w:r>
              <w:rPr>
                <w:rFonts w:cs="Arial"/>
              </w:rPr>
              <w:t xml:space="preserve"> April 2025</w:t>
            </w:r>
          </w:p>
          <w:p w14:paraId="4CB14770" w14:textId="77777777" w:rsidR="00121344" w:rsidRDefault="00121344" w:rsidP="008721EC">
            <w:pPr>
              <w:rPr>
                <w:rFonts w:cs="Arial"/>
              </w:rPr>
            </w:pPr>
            <w:r>
              <w:rPr>
                <w:rFonts w:cs="Arial"/>
              </w:rPr>
              <w:t>Changes:</w:t>
            </w:r>
          </w:p>
          <w:p w14:paraId="0EE8FCFD" w14:textId="7601A1C0" w:rsidR="00121344" w:rsidRDefault="00121344" w:rsidP="00121344">
            <w:pPr>
              <w:pStyle w:val="ListParagraph"/>
              <w:numPr>
                <w:ilvl w:val="0"/>
                <w:numId w:val="15"/>
              </w:numPr>
              <w:rPr>
                <w:rFonts w:cs="Arial"/>
              </w:rPr>
            </w:pPr>
            <w:r>
              <w:rPr>
                <w:rFonts w:cs="Arial"/>
              </w:rPr>
              <w:t>Title changed to Denosumab for Primary and Secondary Fracture Prevention in Adult</w:t>
            </w:r>
            <w:r w:rsidR="001807C9">
              <w:rPr>
                <w:rFonts w:cs="Arial"/>
              </w:rPr>
              <w:t>s</w:t>
            </w:r>
            <w:r>
              <w:rPr>
                <w:rFonts w:cs="Arial"/>
              </w:rPr>
              <w:t xml:space="preserve"> </w:t>
            </w:r>
          </w:p>
          <w:p w14:paraId="5D216449" w14:textId="1769F72A" w:rsidR="00121344" w:rsidRPr="00121344" w:rsidRDefault="00121344" w:rsidP="00121344">
            <w:pPr>
              <w:rPr>
                <w:rFonts w:cs="Arial"/>
              </w:rPr>
            </w:pPr>
          </w:p>
        </w:tc>
        <w:tc>
          <w:tcPr>
            <w:tcW w:w="1985" w:type="dxa"/>
          </w:tcPr>
          <w:p w14:paraId="65113955" w14:textId="04E73595" w:rsidR="00121344" w:rsidRDefault="00121344" w:rsidP="00FA12C0">
            <w:pPr>
              <w:rPr>
                <w:rFonts w:cs="Arial"/>
              </w:rPr>
            </w:pPr>
            <w:r>
              <w:rPr>
                <w:rFonts w:cs="Arial"/>
              </w:rPr>
              <w:t>April 2027</w:t>
            </w:r>
          </w:p>
        </w:tc>
      </w:tr>
    </w:tbl>
    <w:p w14:paraId="17D6E0D2" w14:textId="77777777" w:rsidR="0037246E" w:rsidRDefault="0037246E" w:rsidP="0037246E"/>
    <w:p w14:paraId="32F2D24E" w14:textId="77777777" w:rsidR="008721EC" w:rsidRPr="0037246E" w:rsidRDefault="008721EC" w:rsidP="0037246E"/>
    <w:p w14:paraId="4C1BE905" w14:textId="77777777" w:rsidR="008721EC" w:rsidRDefault="0037246E" w:rsidP="0037246E">
      <w:pPr>
        <w:pStyle w:val="Heading1"/>
        <w:spacing w:line="276" w:lineRule="auto"/>
        <w:ind w:right="662"/>
        <w:jc w:val="both"/>
        <w:rPr>
          <w:sz w:val="24"/>
          <w:szCs w:val="24"/>
        </w:rPr>
      </w:pPr>
      <w:r w:rsidRPr="0037246E">
        <w:rPr>
          <w:sz w:val="24"/>
          <w:szCs w:val="24"/>
        </w:rPr>
        <w:t>This</w:t>
      </w:r>
      <w:r w:rsidRPr="0037246E">
        <w:rPr>
          <w:spacing w:val="-11"/>
          <w:sz w:val="24"/>
          <w:szCs w:val="24"/>
        </w:rPr>
        <w:t xml:space="preserve"> </w:t>
      </w:r>
      <w:r w:rsidRPr="0037246E">
        <w:rPr>
          <w:sz w:val="24"/>
          <w:szCs w:val="24"/>
        </w:rPr>
        <w:t>guideline</w:t>
      </w:r>
      <w:r w:rsidRPr="0037246E">
        <w:rPr>
          <w:spacing w:val="-12"/>
          <w:sz w:val="24"/>
          <w:szCs w:val="24"/>
        </w:rPr>
        <w:t xml:space="preserve"> </w:t>
      </w:r>
      <w:r w:rsidRPr="0037246E">
        <w:rPr>
          <w:sz w:val="24"/>
          <w:szCs w:val="24"/>
        </w:rPr>
        <w:t>provides</w:t>
      </w:r>
      <w:r w:rsidRPr="0037246E">
        <w:rPr>
          <w:spacing w:val="-14"/>
          <w:sz w:val="24"/>
          <w:szCs w:val="24"/>
        </w:rPr>
        <w:t xml:space="preserve"> </w:t>
      </w:r>
      <w:r w:rsidRPr="0037246E">
        <w:rPr>
          <w:sz w:val="24"/>
          <w:szCs w:val="24"/>
        </w:rPr>
        <w:t>prescribing</w:t>
      </w:r>
      <w:r w:rsidRPr="0037246E">
        <w:rPr>
          <w:spacing w:val="-14"/>
          <w:sz w:val="24"/>
          <w:szCs w:val="24"/>
        </w:rPr>
        <w:t xml:space="preserve"> </w:t>
      </w:r>
      <w:r w:rsidRPr="0037246E">
        <w:rPr>
          <w:sz w:val="24"/>
          <w:szCs w:val="24"/>
        </w:rPr>
        <w:t>and</w:t>
      </w:r>
      <w:r w:rsidRPr="0037246E">
        <w:rPr>
          <w:spacing w:val="-11"/>
          <w:sz w:val="24"/>
          <w:szCs w:val="24"/>
        </w:rPr>
        <w:t xml:space="preserve"> </w:t>
      </w:r>
      <w:r w:rsidRPr="0037246E">
        <w:rPr>
          <w:sz w:val="24"/>
          <w:szCs w:val="24"/>
        </w:rPr>
        <w:t>monitoring</w:t>
      </w:r>
      <w:r w:rsidRPr="0037246E">
        <w:rPr>
          <w:spacing w:val="-11"/>
          <w:sz w:val="24"/>
          <w:szCs w:val="24"/>
        </w:rPr>
        <w:t xml:space="preserve"> </w:t>
      </w:r>
      <w:r w:rsidRPr="0037246E">
        <w:rPr>
          <w:sz w:val="24"/>
          <w:szCs w:val="24"/>
        </w:rPr>
        <w:t>guidance</w:t>
      </w:r>
      <w:r w:rsidRPr="0037246E">
        <w:rPr>
          <w:spacing w:val="-14"/>
          <w:sz w:val="24"/>
          <w:szCs w:val="24"/>
        </w:rPr>
        <w:t xml:space="preserve"> </w:t>
      </w:r>
      <w:r w:rsidRPr="0037246E">
        <w:rPr>
          <w:sz w:val="24"/>
          <w:szCs w:val="24"/>
        </w:rPr>
        <w:t>for</w:t>
      </w:r>
      <w:r w:rsidRPr="0037246E">
        <w:rPr>
          <w:spacing w:val="-11"/>
          <w:sz w:val="24"/>
          <w:szCs w:val="24"/>
        </w:rPr>
        <w:t xml:space="preserve"> </w:t>
      </w:r>
      <w:r w:rsidRPr="0037246E">
        <w:rPr>
          <w:sz w:val="24"/>
          <w:szCs w:val="24"/>
        </w:rPr>
        <w:t>denosumab</w:t>
      </w:r>
      <w:r w:rsidRPr="0037246E">
        <w:rPr>
          <w:spacing w:val="-12"/>
          <w:sz w:val="24"/>
          <w:szCs w:val="24"/>
        </w:rPr>
        <w:t xml:space="preserve"> </w:t>
      </w:r>
      <w:r w:rsidRPr="0037246E">
        <w:rPr>
          <w:sz w:val="24"/>
          <w:szCs w:val="24"/>
        </w:rPr>
        <w:t>therapy.</w:t>
      </w:r>
      <w:r w:rsidRPr="0037246E">
        <w:rPr>
          <w:spacing w:val="36"/>
          <w:sz w:val="24"/>
          <w:szCs w:val="24"/>
        </w:rPr>
        <w:t xml:space="preserve"> </w:t>
      </w:r>
      <w:r w:rsidRPr="0037246E">
        <w:rPr>
          <w:sz w:val="24"/>
          <w:szCs w:val="24"/>
        </w:rPr>
        <w:t>It</w:t>
      </w:r>
      <w:r w:rsidRPr="0037246E">
        <w:rPr>
          <w:spacing w:val="-10"/>
          <w:sz w:val="24"/>
          <w:szCs w:val="24"/>
        </w:rPr>
        <w:t xml:space="preserve"> </w:t>
      </w:r>
      <w:r w:rsidRPr="0037246E">
        <w:rPr>
          <w:sz w:val="24"/>
          <w:szCs w:val="24"/>
        </w:rPr>
        <w:t xml:space="preserve">should be read in conjunction with the Summary of Product Characteristics (SPC) available on </w:t>
      </w:r>
      <w:hyperlink r:id="rId12">
        <w:r w:rsidRPr="0037246E">
          <w:rPr>
            <w:color w:val="0000FF"/>
            <w:sz w:val="24"/>
            <w:szCs w:val="24"/>
            <w:u w:val="thick" w:color="0000FF"/>
          </w:rPr>
          <w:t>www.medicines.org.uk/emc</w:t>
        </w:r>
        <w:r w:rsidRPr="0037246E">
          <w:rPr>
            <w:color w:val="0000FF"/>
            <w:sz w:val="24"/>
            <w:szCs w:val="24"/>
          </w:rPr>
          <w:t xml:space="preserve"> </w:t>
        </w:r>
      </w:hyperlink>
      <w:r w:rsidRPr="0037246E">
        <w:rPr>
          <w:sz w:val="24"/>
          <w:szCs w:val="24"/>
        </w:rPr>
        <w:t>and the</w:t>
      </w:r>
      <w:r w:rsidRPr="0037246E">
        <w:rPr>
          <w:spacing w:val="-5"/>
          <w:sz w:val="24"/>
          <w:szCs w:val="24"/>
        </w:rPr>
        <w:t xml:space="preserve"> </w:t>
      </w:r>
      <w:hyperlink r:id="rId13">
        <w:r w:rsidRPr="0037246E">
          <w:rPr>
            <w:color w:val="0000FF"/>
            <w:sz w:val="24"/>
            <w:szCs w:val="24"/>
            <w:u w:val="thick" w:color="0000FF"/>
          </w:rPr>
          <w:t>BNF</w:t>
        </w:r>
      </w:hyperlink>
      <w:r w:rsidRPr="0037246E">
        <w:rPr>
          <w:sz w:val="24"/>
          <w:szCs w:val="24"/>
        </w:rPr>
        <w:t xml:space="preserve">. </w:t>
      </w:r>
    </w:p>
    <w:p w14:paraId="278D86C6" w14:textId="77777777" w:rsidR="008721EC" w:rsidRDefault="008721EC" w:rsidP="0037246E">
      <w:pPr>
        <w:pStyle w:val="Heading1"/>
        <w:spacing w:line="276" w:lineRule="auto"/>
        <w:ind w:right="662"/>
        <w:jc w:val="both"/>
        <w:rPr>
          <w:sz w:val="24"/>
          <w:szCs w:val="24"/>
        </w:rPr>
      </w:pPr>
    </w:p>
    <w:p w14:paraId="3C7A5CC4" w14:textId="65C73D74" w:rsidR="005A633C" w:rsidRPr="0037246E" w:rsidRDefault="005A633C" w:rsidP="0037246E">
      <w:pPr>
        <w:pStyle w:val="Heading1"/>
        <w:spacing w:line="276" w:lineRule="auto"/>
        <w:ind w:right="662"/>
        <w:jc w:val="both"/>
        <w:rPr>
          <w:rFonts w:cs="Arial"/>
          <w:sz w:val="24"/>
          <w:szCs w:val="24"/>
        </w:rPr>
      </w:pPr>
      <w:r w:rsidRPr="0037246E">
        <w:rPr>
          <w:rFonts w:cs="Arial"/>
          <w:sz w:val="24"/>
          <w:szCs w:val="24"/>
        </w:rPr>
        <w:t>This document is intended for use by NHS healthcare professionals and cannot be used for commercial or marketing purposes.</w:t>
      </w:r>
    </w:p>
    <w:p w14:paraId="56B90C64" w14:textId="59699438" w:rsidR="006179D7" w:rsidRDefault="006179D7">
      <w:pPr>
        <w:spacing w:before="0" w:after="160"/>
        <w:rPr>
          <w:rFonts w:cs="Arial"/>
          <w:sz w:val="24"/>
          <w:szCs w:val="24"/>
        </w:rPr>
      </w:pPr>
      <w:r>
        <w:rPr>
          <w:rFonts w:cs="Arial"/>
          <w:sz w:val="24"/>
          <w:szCs w:val="24"/>
        </w:rPr>
        <w:br w:type="page"/>
      </w:r>
    </w:p>
    <w:p w14:paraId="2EBD1324" w14:textId="007BFF97" w:rsidR="00F321FC" w:rsidRPr="00812579" w:rsidRDefault="00F321FC">
      <w:pPr>
        <w:rPr>
          <w:rFonts w:cs="Arial"/>
          <w:b/>
          <w:bCs/>
          <w:sz w:val="24"/>
          <w:szCs w:val="24"/>
        </w:rPr>
      </w:pPr>
      <w:r w:rsidRPr="00812579">
        <w:rPr>
          <w:rFonts w:cs="Arial"/>
          <w:b/>
          <w:bCs/>
          <w:sz w:val="24"/>
          <w:szCs w:val="24"/>
        </w:rPr>
        <w:lastRenderedPageBreak/>
        <w:t>Shared Care Protocol</w:t>
      </w:r>
    </w:p>
    <w:p w14:paraId="5DD9FF58" w14:textId="35D5CA54" w:rsidR="0037246E" w:rsidRDefault="001807C9" w:rsidP="0037246E">
      <w:pPr>
        <w:spacing w:before="120" w:after="120"/>
        <w:ind w:left="590" w:right="590"/>
        <w:rPr>
          <w:b/>
        </w:rPr>
      </w:pPr>
      <w:r w:rsidRPr="001807C9">
        <w:rPr>
          <w:b/>
        </w:rPr>
        <w:t>DENOSUMAB FOR PRIMARY AND SECONDARY FRACTURE PREVENTION IN ADULTS</w:t>
      </w:r>
    </w:p>
    <w:tbl>
      <w:tblPr>
        <w:tblStyle w:val="TableGridLight1"/>
        <w:tblW w:w="0" w:type="auto"/>
        <w:tblInd w:w="-5" w:type="dxa"/>
        <w:tblCellMar>
          <w:top w:w="57" w:type="dxa"/>
          <w:bottom w:w="57" w:type="dxa"/>
        </w:tblCellMar>
        <w:tblLook w:val="0480" w:firstRow="0" w:lastRow="0" w:firstColumn="1" w:lastColumn="0" w:noHBand="0" w:noVBand="1"/>
      </w:tblPr>
      <w:tblGrid>
        <w:gridCol w:w="2261"/>
        <w:gridCol w:w="8200"/>
      </w:tblGrid>
      <w:tr w:rsidR="00C72861" w:rsidRPr="00F321FC" w14:paraId="3FF50130" w14:textId="77777777" w:rsidTr="00F42E9B">
        <w:tc>
          <w:tcPr>
            <w:tcW w:w="2261" w:type="dxa"/>
            <w:tcBorders>
              <w:top w:val="single" w:sz="4" w:space="0" w:color="BFBFBF" w:themeColor="background1" w:themeShade="BF"/>
            </w:tcBorders>
          </w:tcPr>
          <w:p w14:paraId="60850D61" w14:textId="74515AEE" w:rsidR="00C72861" w:rsidRPr="00F321FC" w:rsidRDefault="00721E7A" w:rsidP="0037246E">
            <w:pPr>
              <w:pStyle w:val="Heading2"/>
              <w:jc w:val="both"/>
              <w:rPr>
                <w:rFonts w:cs="Arial"/>
              </w:rPr>
            </w:pPr>
            <w:bookmarkStart w:id="0" w:name="one_background"/>
            <w:bookmarkStart w:id="1" w:name="_Toc149231785"/>
            <w:r w:rsidRPr="00F321FC">
              <w:rPr>
                <w:rFonts w:cs="Arial"/>
              </w:rPr>
              <w:t>Background</w:t>
            </w:r>
            <w:bookmarkEnd w:id="0"/>
            <w:bookmarkEnd w:id="1"/>
          </w:p>
        </w:tc>
        <w:tc>
          <w:tcPr>
            <w:tcW w:w="8200" w:type="dxa"/>
            <w:tcBorders>
              <w:top w:val="single" w:sz="4" w:space="0" w:color="BFBFBF" w:themeColor="background1" w:themeShade="BF"/>
            </w:tcBorders>
          </w:tcPr>
          <w:p w14:paraId="3D1653AD" w14:textId="7B2032D2" w:rsidR="0065325B" w:rsidRDefault="0037246E" w:rsidP="009E2543">
            <w:pPr>
              <w:pStyle w:val="BodyText"/>
              <w:ind w:right="663"/>
              <w:jc w:val="both"/>
            </w:pPr>
            <w:r w:rsidRPr="00D67D7F">
              <w:t xml:space="preserve">Denosumab is a monoclonal antibody that binds to RANK ligand and inhibits osteoclast formation, function and survival, thereby decreasing bone resorption. </w:t>
            </w:r>
          </w:p>
          <w:p w14:paraId="1724B97C" w14:textId="77777777" w:rsidR="00DF2B32" w:rsidRDefault="00DF2B32" w:rsidP="009E2543">
            <w:pPr>
              <w:pStyle w:val="BodyText"/>
              <w:ind w:right="663"/>
              <w:jc w:val="both"/>
            </w:pPr>
          </w:p>
          <w:p w14:paraId="3CC86D49" w14:textId="673CF0C5" w:rsidR="00DF2B32" w:rsidRDefault="00DF2B32" w:rsidP="009E2543">
            <w:pPr>
              <w:pStyle w:val="BodyText"/>
              <w:ind w:right="663"/>
              <w:jc w:val="both"/>
            </w:pPr>
            <w:r>
              <w:t>Denosumab (originator</w:t>
            </w:r>
            <w:r w:rsidR="00E00135">
              <w:t>, Amgen</w:t>
            </w:r>
            <w:r>
              <w:t xml:space="preserve">) is currently marketed under two brand names: Prolia® for osteoporosis and </w:t>
            </w:r>
            <w:proofErr w:type="spellStart"/>
            <w:r>
              <w:t>Xvega</w:t>
            </w:r>
            <w:proofErr w:type="spellEnd"/>
            <w:r>
              <w:t>® for management of skeletal metastases and giant cell tumours of bone. This document refers only to use in osteoporosis.</w:t>
            </w:r>
          </w:p>
          <w:p w14:paraId="7D558BD3" w14:textId="77777777" w:rsidR="00DF2B32" w:rsidRDefault="00DF2B32" w:rsidP="009E2543">
            <w:pPr>
              <w:pStyle w:val="BodyText"/>
              <w:ind w:right="663"/>
              <w:jc w:val="both"/>
            </w:pPr>
          </w:p>
          <w:p w14:paraId="084662F6" w14:textId="205C55C9" w:rsidR="00DF2B32" w:rsidRDefault="00E00135" w:rsidP="009E2543">
            <w:pPr>
              <w:pStyle w:val="BodyText"/>
              <w:ind w:right="663"/>
              <w:jc w:val="both"/>
            </w:pPr>
            <w:r>
              <w:t>B</w:t>
            </w:r>
            <w:r w:rsidR="00DF2B32">
              <w:t>iosimilar versions of denosumab are in preparation and will launch in 202</w:t>
            </w:r>
            <w:r w:rsidR="004E0633">
              <w:t>5</w:t>
            </w:r>
            <w:r w:rsidR="00DF2B32">
              <w:t>/</w:t>
            </w:r>
            <w:r w:rsidR="008A7788">
              <w:t xml:space="preserve"> </w:t>
            </w:r>
            <w:r w:rsidR="00DF2B32">
              <w:t>202</w:t>
            </w:r>
            <w:r w:rsidR="004E0633">
              <w:t>6</w:t>
            </w:r>
            <w:r>
              <w:t>, likely with different brand names for the osteoporosis and bone metastasis indications.</w:t>
            </w:r>
            <w:r w:rsidR="008A7788">
              <w:t xml:space="preserve"> </w:t>
            </w:r>
            <w:r>
              <w:t xml:space="preserve">Once biosimilars launch it will be important to prescribe the product by brand. </w:t>
            </w:r>
          </w:p>
          <w:p w14:paraId="6B5F3EB1" w14:textId="76AEDA7B" w:rsidR="00E00135" w:rsidRPr="00B87200" w:rsidRDefault="00E00135" w:rsidP="0037246E">
            <w:pPr>
              <w:pStyle w:val="BodyText"/>
              <w:spacing w:line="276" w:lineRule="auto"/>
              <w:ind w:right="665"/>
              <w:jc w:val="both"/>
            </w:pPr>
          </w:p>
        </w:tc>
      </w:tr>
      <w:tr w:rsidR="00C72861" w:rsidRPr="00F321FC" w14:paraId="700AF380" w14:textId="77777777" w:rsidTr="00F42E9B">
        <w:tc>
          <w:tcPr>
            <w:tcW w:w="2261" w:type="dxa"/>
          </w:tcPr>
          <w:p w14:paraId="353B7610" w14:textId="421AD839" w:rsidR="00C72861" w:rsidRPr="00F321FC" w:rsidRDefault="00A93496" w:rsidP="00D31D08">
            <w:pPr>
              <w:pStyle w:val="Heading2"/>
              <w:rPr>
                <w:rFonts w:cs="Arial"/>
              </w:rPr>
            </w:pPr>
            <w:bookmarkStart w:id="2" w:name="two_indications"/>
            <w:bookmarkStart w:id="3" w:name="_Toc149231786"/>
            <w:r w:rsidRPr="00F321FC">
              <w:rPr>
                <w:rFonts w:cs="Arial"/>
              </w:rPr>
              <w:t xml:space="preserve">Licensed </w:t>
            </w:r>
            <w:r w:rsidR="00035AE8">
              <w:rPr>
                <w:rFonts w:cs="Arial"/>
              </w:rPr>
              <w:t xml:space="preserve">and agreed off-label </w:t>
            </w:r>
            <w:r w:rsidRPr="00F321FC">
              <w:rPr>
                <w:rFonts w:cs="Arial"/>
              </w:rPr>
              <w:t>indications</w:t>
            </w:r>
            <w:bookmarkEnd w:id="2"/>
            <w:bookmarkEnd w:id="3"/>
          </w:p>
        </w:tc>
        <w:tc>
          <w:tcPr>
            <w:tcW w:w="8200" w:type="dxa"/>
          </w:tcPr>
          <w:p w14:paraId="65348B5B" w14:textId="77777777" w:rsidR="0037246E" w:rsidRPr="00664023" w:rsidRDefault="0037246E" w:rsidP="009E2543">
            <w:pPr>
              <w:pStyle w:val="ListParagraph"/>
              <w:widowControl w:val="0"/>
              <w:numPr>
                <w:ilvl w:val="0"/>
                <w:numId w:val="5"/>
              </w:numPr>
              <w:tabs>
                <w:tab w:val="left" w:pos="1480"/>
              </w:tabs>
              <w:autoSpaceDE w:val="0"/>
              <w:autoSpaceDN w:val="0"/>
              <w:spacing w:before="120" w:after="120"/>
              <w:ind w:left="383" w:right="660" w:hanging="383"/>
              <w:jc w:val="both"/>
            </w:pPr>
            <w:r w:rsidRPr="00664023">
              <w:t>Osteoporosis in postmenopausal women and in men at increased risk of fractures. In postmenopausal women denosumab significantly reduces the risk of vertebral, non-vertebral and hip</w:t>
            </w:r>
            <w:r w:rsidRPr="00664023">
              <w:rPr>
                <w:spacing w:val="-1"/>
              </w:rPr>
              <w:t xml:space="preserve"> </w:t>
            </w:r>
            <w:r w:rsidRPr="00664023">
              <w:t>fractures.</w:t>
            </w:r>
            <w:r w:rsidRPr="0016513F">
              <w:rPr>
                <w:position w:val="8"/>
                <w:sz w:val="16"/>
                <w:szCs w:val="16"/>
              </w:rPr>
              <w:t>2-4</w:t>
            </w:r>
          </w:p>
          <w:p w14:paraId="2BD31C91" w14:textId="77777777" w:rsidR="0037246E" w:rsidRPr="0037246E" w:rsidRDefault="0037246E" w:rsidP="009E2543">
            <w:pPr>
              <w:pStyle w:val="ListParagraph"/>
              <w:widowControl w:val="0"/>
              <w:numPr>
                <w:ilvl w:val="0"/>
                <w:numId w:val="5"/>
              </w:numPr>
              <w:tabs>
                <w:tab w:val="left" w:pos="1480"/>
              </w:tabs>
              <w:autoSpaceDE w:val="0"/>
              <w:autoSpaceDN w:val="0"/>
              <w:spacing w:before="120" w:after="120"/>
              <w:ind w:left="383" w:right="665" w:hanging="383"/>
              <w:jc w:val="both"/>
              <w:rPr>
                <w:rFonts w:cs="Arial"/>
              </w:rPr>
            </w:pPr>
            <w:r w:rsidRPr="0037246E">
              <w:rPr>
                <w:rFonts w:cs="Arial"/>
                <w:color w:val="0E0E0E"/>
                <w:shd w:val="clear" w:color="auto" w:fill="FFFFFF"/>
              </w:rPr>
              <w:t>Bone loss associated with hormone ablation in men with prostate cancer at increased risk of fractures</w:t>
            </w:r>
          </w:p>
          <w:p w14:paraId="452D25AB" w14:textId="7ABA07F1" w:rsidR="007A56FB" w:rsidRPr="009E2543" w:rsidRDefault="0037246E" w:rsidP="00E00135">
            <w:pPr>
              <w:pStyle w:val="ListParagraph"/>
              <w:widowControl w:val="0"/>
              <w:numPr>
                <w:ilvl w:val="0"/>
                <w:numId w:val="5"/>
              </w:numPr>
              <w:tabs>
                <w:tab w:val="left" w:pos="1480"/>
              </w:tabs>
              <w:autoSpaceDE w:val="0"/>
              <w:autoSpaceDN w:val="0"/>
              <w:spacing w:before="120" w:after="120"/>
              <w:ind w:left="383" w:right="665" w:hanging="383"/>
              <w:jc w:val="both"/>
            </w:pPr>
            <w:r w:rsidRPr="00D67D7F">
              <w:t>Treatment of bone loss associated with long-term systemic glucocorticoid therapy in adult patients at increased risk of</w:t>
            </w:r>
            <w:r w:rsidRPr="00D67D7F">
              <w:rPr>
                <w:spacing w:val="-5"/>
              </w:rPr>
              <w:t xml:space="preserve"> </w:t>
            </w:r>
            <w:r w:rsidRPr="00D67D7F">
              <w:t>fracture.</w:t>
            </w:r>
          </w:p>
        </w:tc>
      </w:tr>
      <w:tr w:rsidR="00C72861" w:rsidRPr="00F321FC" w14:paraId="36B1B999" w14:textId="77777777" w:rsidTr="00F42E9B">
        <w:tc>
          <w:tcPr>
            <w:tcW w:w="2261" w:type="dxa"/>
          </w:tcPr>
          <w:p w14:paraId="6F2C624B" w14:textId="515A3B01" w:rsidR="00C72861" w:rsidRPr="00F321FC" w:rsidRDefault="00A93496" w:rsidP="00D31D08">
            <w:pPr>
              <w:pStyle w:val="Heading2"/>
              <w:rPr>
                <w:rFonts w:cs="Arial"/>
              </w:rPr>
            </w:pPr>
            <w:bookmarkStart w:id="4" w:name="three_local_indications"/>
            <w:bookmarkStart w:id="5" w:name="_Toc149231787"/>
            <w:r w:rsidRPr="00F321FC">
              <w:rPr>
                <w:rFonts w:cs="Arial"/>
              </w:rPr>
              <w:t xml:space="preserve">Locally agreed </w:t>
            </w:r>
            <w:r w:rsidR="00EC0326">
              <w:rPr>
                <w:rFonts w:cs="Arial"/>
              </w:rPr>
              <w:t>indications</w:t>
            </w:r>
            <w:bookmarkEnd w:id="4"/>
            <w:bookmarkEnd w:id="5"/>
          </w:p>
        </w:tc>
        <w:tc>
          <w:tcPr>
            <w:tcW w:w="8200" w:type="dxa"/>
          </w:tcPr>
          <w:p w14:paraId="14C3CD90" w14:textId="7683001F" w:rsidR="00C72861" w:rsidRPr="0037246E" w:rsidRDefault="009E2543" w:rsidP="00FB404F">
            <w:pPr>
              <w:rPr>
                <w:rFonts w:cs="Arial"/>
              </w:rPr>
            </w:pPr>
            <w:r>
              <w:rPr>
                <w:rFonts w:cs="Arial"/>
              </w:rPr>
              <w:t>Non-applicable</w:t>
            </w:r>
          </w:p>
        </w:tc>
      </w:tr>
      <w:tr w:rsidR="00C72861" w:rsidRPr="00F321FC" w14:paraId="6823BC14" w14:textId="77777777" w:rsidTr="00F42E9B">
        <w:tc>
          <w:tcPr>
            <w:tcW w:w="2261" w:type="dxa"/>
          </w:tcPr>
          <w:p w14:paraId="3917C256" w14:textId="77777777" w:rsidR="00C72861" w:rsidRDefault="00F132AA" w:rsidP="00D31D08">
            <w:pPr>
              <w:pStyle w:val="Heading2"/>
              <w:rPr>
                <w:rFonts w:cs="Arial"/>
              </w:rPr>
            </w:pPr>
            <w:bookmarkStart w:id="6" w:name="four_dosing"/>
            <w:bookmarkStart w:id="7" w:name="_Toc149231788"/>
            <w:r w:rsidRPr="00F321FC">
              <w:rPr>
                <w:rFonts w:cs="Arial"/>
              </w:rPr>
              <w:t>Initiation and ongoing dose regime</w:t>
            </w:r>
            <w:bookmarkEnd w:id="6"/>
            <w:bookmarkEnd w:id="7"/>
          </w:p>
          <w:p w14:paraId="5B29E378" w14:textId="09C1A858" w:rsidR="008E2B62" w:rsidRPr="008E2B62" w:rsidRDefault="008E2B62" w:rsidP="00CE744B">
            <w:pPr>
              <w:spacing w:before="100" w:beforeAutospacing="1" w:after="0"/>
            </w:pPr>
          </w:p>
        </w:tc>
        <w:tc>
          <w:tcPr>
            <w:tcW w:w="8200" w:type="dxa"/>
          </w:tcPr>
          <w:p w14:paraId="0A8C1FA1" w14:textId="77777777" w:rsidR="00CE744B" w:rsidRPr="00664023" w:rsidRDefault="00CE744B" w:rsidP="009E2543">
            <w:pPr>
              <w:spacing w:before="120"/>
              <w:ind w:left="383" w:hanging="383"/>
              <w:rPr>
                <w:b/>
              </w:rPr>
            </w:pPr>
            <w:r w:rsidRPr="00664023">
              <w:rPr>
                <w:b/>
              </w:rPr>
              <w:t>DOSAGE</w:t>
            </w:r>
          </w:p>
          <w:p w14:paraId="4B642C8C" w14:textId="5BD3A24F" w:rsidR="00CE744B" w:rsidRPr="00664023" w:rsidRDefault="00CE744B" w:rsidP="009E2543">
            <w:pPr>
              <w:pStyle w:val="ListParagraph"/>
              <w:widowControl w:val="0"/>
              <w:numPr>
                <w:ilvl w:val="0"/>
                <w:numId w:val="6"/>
              </w:numPr>
              <w:tabs>
                <w:tab w:val="left" w:pos="1120"/>
              </w:tabs>
              <w:autoSpaceDE w:val="0"/>
              <w:autoSpaceDN w:val="0"/>
              <w:spacing w:before="120" w:after="120"/>
              <w:ind w:left="383" w:right="663" w:hanging="383"/>
              <w:jc w:val="both"/>
            </w:pPr>
            <w:r w:rsidRPr="00664023">
              <w:t>The recommended dose is denosumab 60 mg, administered as a single subcutaneous injection once every 6 months into the thigh, abdomen or back of the arm. Administration should be performed by an individual adequately trained in injection</w:t>
            </w:r>
            <w:r w:rsidRPr="00664023">
              <w:rPr>
                <w:spacing w:val="-10"/>
              </w:rPr>
              <w:t xml:space="preserve"> </w:t>
            </w:r>
            <w:r w:rsidRPr="00664023">
              <w:t>techniques.</w:t>
            </w:r>
            <w:r w:rsidR="000F318C">
              <w:t xml:space="preserve"> This can be the patient or a relative who has been trained to administer the injection.</w:t>
            </w:r>
          </w:p>
          <w:p w14:paraId="5D0DDC03" w14:textId="01FCC7D9" w:rsidR="00CE744B" w:rsidRPr="00664023" w:rsidRDefault="000F318C" w:rsidP="009E2543">
            <w:pPr>
              <w:pStyle w:val="ListParagraph"/>
              <w:widowControl w:val="0"/>
              <w:numPr>
                <w:ilvl w:val="0"/>
                <w:numId w:val="6"/>
              </w:numPr>
              <w:tabs>
                <w:tab w:val="left" w:pos="1120"/>
              </w:tabs>
              <w:autoSpaceDE w:val="0"/>
              <w:autoSpaceDN w:val="0"/>
              <w:spacing w:before="120" w:after="120"/>
              <w:ind w:left="383" w:right="662" w:hanging="383"/>
              <w:jc w:val="both"/>
            </w:pPr>
            <w:r>
              <w:t>The drug should be given every six months, within two weeks of the due date and no more than four weeks after the due date.</w:t>
            </w:r>
            <w:r w:rsidR="00CE744B" w:rsidRPr="00664023">
              <w:t xml:space="preserve"> </w:t>
            </w:r>
            <w:r>
              <w:t>If the injection is delayed the risks of rebound bone loss/ fracture should be explained to the patient, and advice should be sought from the secondary care specialist involved in initiating the treatment.</w:t>
            </w:r>
          </w:p>
          <w:p w14:paraId="10C051A9" w14:textId="77777777" w:rsidR="00CE744B" w:rsidRDefault="00CE744B" w:rsidP="009E2543">
            <w:pPr>
              <w:rPr>
                <w:rFonts w:cs="Arial"/>
              </w:rPr>
            </w:pPr>
          </w:p>
          <w:p w14:paraId="7D0E51EC" w14:textId="77777777" w:rsidR="00115C23" w:rsidRDefault="00115C23" w:rsidP="009E2543">
            <w:pPr>
              <w:rPr>
                <w:rFonts w:cs="Arial"/>
              </w:rPr>
            </w:pPr>
            <w:r>
              <w:rPr>
                <w:rFonts w:cs="Arial"/>
              </w:rPr>
              <w:t>Initial monitoring, counselling of the patient and first dose will be in secondary care. Second and subsequent doses, and monitoring for these will be in primary care. The secondary care team remain responsible for the overall long term treatment plan, particularly with regard to precautions around interruption or cessation of treatment.</w:t>
            </w:r>
          </w:p>
          <w:p w14:paraId="6F3D93A4" w14:textId="77777777" w:rsidR="00115C23" w:rsidRDefault="00115C23" w:rsidP="00FB404F">
            <w:pPr>
              <w:rPr>
                <w:rFonts w:cs="Arial"/>
              </w:rPr>
            </w:pPr>
          </w:p>
          <w:p w14:paraId="178B59BE" w14:textId="77777777" w:rsidR="00CE744B" w:rsidRPr="00CE744B" w:rsidRDefault="00CE744B" w:rsidP="009E2543">
            <w:pPr>
              <w:pStyle w:val="Heading1"/>
              <w:spacing w:before="120" w:after="120"/>
              <w:jc w:val="both"/>
              <w:rPr>
                <w:sz w:val="22"/>
                <w:szCs w:val="22"/>
              </w:rPr>
            </w:pPr>
            <w:r w:rsidRPr="00CE744B">
              <w:rPr>
                <w:sz w:val="22"/>
                <w:szCs w:val="22"/>
              </w:rPr>
              <w:t>TREATMENT DURATION</w:t>
            </w:r>
          </w:p>
          <w:p w14:paraId="09686170" w14:textId="307B1673" w:rsidR="00A779AC" w:rsidRDefault="000F318C" w:rsidP="009E2543">
            <w:pPr>
              <w:pStyle w:val="BodyText"/>
              <w:ind w:right="662"/>
              <w:jc w:val="both"/>
            </w:pPr>
            <w:r>
              <w:t>Clinical t</w:t>
            </w:r>
            <w:r w:rsidR="00CE744B" w:rsidRPr="00CE744B">
              <w:t xml:space="preserve">rial evidence from 10 years of denosumab treatment demonstrated ongoing improvement in bone density, low fracture rates and low rates of </w:t>
            </w:r>
            <w:r w:rsidR="00CE744B" w:rsidRPr="00CE744B">
              <w:lastRenderedPageBreak/>
              <w:t>adverse events.</w:t>
            </w:r>
            <w:r w:rsidR="00CE744B" w:rsidRPr="0016513F">
              <w:rPr>
                <w:position w:val="8"/>
                <w:sz w:val="16"/>
                <w:szCs w:val="16"/>
              </w:rPr>
              <w:t>7</w:t>
            </w:r>
            <w:r w:rsidR="00CE744B" w:rsidRPr="00CE744B">
              <w:rPr>
                <w:position w:val="8"/>
              </w:rPr>
              <w:t xml:space="preserve"> </w:t>
            </w:r>
            <w:r w:rsidR="00A779AC">
              <w:t>This is in contrast to long term studies of bisphosphonate therapy</w:t>
            </w:r>
            <w:r w:rsidR="005058DE">
              <w:t>,</w:t>
            </w:r>
            <w:r w:rsidR="00A779AC">
              <w:t xml:space="preserve"> which demonstrate loss of effect in patients treated for 9-10 years or longer.</w:t>
            </w:r>
          </w:p>
          <w:p w14:paraId="617CA9D4" w14:textId="77777777" w:rsidR="00A779AC" w:rsidRDefault="00A779AC" w:rsidP="009E2543">
            <w:pPr>
              <w:pStyle w:val="BodyText"/>
              <w:ind w:left="99" w:right="662"/>
              <w:jc w:val="both"/>
            </w:pPr>
          </w:p>
          <w:p w14:paraId="72F0E30D" w14:textId="77777777" w:rsidR="000F4219" w:rsidRDefault="00A779AC" w:rsidP="009E2543">
            <w:pPr>
              <w:pStyle w:val="BodyText"/>
              <w:ind w:right="662"/>
              <w:jc w:val="both"/>
              <w:rPr>
                <w:position w:val="8"/>
                <w:sz w:val="16"/>
                <w:szCs w:val="16"/>
              </w:rPr>
            </w:pPr>
            <w:r>
              <w:t>S</w:t>
            </w:r>
            <w:r w:rsidR="00CE744B" w:rsidRPr="00CE744B">
              <w:t xml:space="preserve">topping denosumab results in a rebound increase in bone turnover markers and rapid decline in bone density </w:t>
            </w:r>
            <w:r w:rsidR="008A7788">
              <w:t>falling back to</w:t>
            </w:r>
            <w:r w:rsidR="00CE744B" w:rsidRPr="00CE744B">
              <w:t xml:space="preserve"> pre-treatment levels within</w:t>
            </w:r>
            <w:r w:rsidR="00CE744B" w:rsidRPr="00CE744B">
              <w:rPr>
                <w:spacing w:val="-10"/>
              </w:rPr>
              <w:t xml:space="preserve"> </w:t>
            </w:r>
            <w:r w:rsidR="00CE744B" w:rsidRPr="00CE744B">
              <w:t>12</w:t>
            </w:r>
            <w:r w:rsidR="00CE744B" w:rsidRPr="00CE744B">
              <w:rPr>
                <w:spacing w:val="-11"/>
              </w:rPr>
              <w:t xml:space="preserve"> </w:t>
            </w:r>
            <w:r w:rsidR="00CE744B" w:rsidRPr="00CE744B">
              <w:t>months.</w:t>
            </w:r>
            <w:r w:rsidR="00CE744B" w:rsidRPr="00CE744B">
              <w:rPr>
                <w:spacing w:val="40"/>
              </w:rPr>
              <w:t xml:space="preserve"> </w:t>
            </w:r>
            <w:r w:rsidR="00CE744B" w:rsidRPr="00CE744B">
              <w:t>Vertebral</w:t>
            </w:r>
            <w:r w:rsidR="00CE744B" w:rsidRPr="00CE744B">
              <w:rPr>
                <w:spacing w:val="-13"/>
              </w:rPr>
              <w:t xml:space="preserve"> </w:t>
            </w:r>
            <w:r w:rsidR="00CE744B" w:rsidRPr="00CE744B">
              <w:t>fractures</w:t>
            </w:r>
            <w:r w:rsidR="00CE744B" w:rsidRPr="00CE744B">
              <w:rPr>
                <w:spacing w:val="-11"/>
              </w:rPr>
              <w:t xml:space="preserve"> </w:t>
            </w:r>
            <w:r w:rsidR="00CE744B" w:rsidRPr="00CE744B">
              <w:t>have</w:t>
            </w:r>
            <w:r w:rsidR="00CE744B" w:rsidRPr="00CE744B">
              <w:rPr>
                <w:spacing w:val="-12"/>
              </w:rPr>
              <w:t xml:space="preserve"> </w:t>
            </w:r>
            <w:r w:rsidR="00CE744B" w:rsidRPr="00CE744B">
              <w:t>been</w:t>
            </w:r>
            <w:r w:rsidR="00CE744B" w:rsidRPr="00CE744B">
              <w:rPr>
                <w:spacing w:val="-11"/>
              </w:rPr>
              <w:t xml:space="preserve"> </w:t>
            </w:r>
            <w:r w:rsidR="00CE744B" w:rsidRPr="00CE744B">
              <w:t>reported</w:t>
            </w:r>
            <w:r w:rsidR="00CE744B" w:rsidRPr="00CE744B">
              <w:rPr>
                <w:spacing w:val="-11"/>
              </w:rPr>
              <w:t xml:space="preserve"> </w:t>
            </w:r>
            <w:r w:rsidR="00CE744B" w:rsidRPr="00CE744B">
              <w:t>in</w:t>
            </w:r>
            <w:r w:rsidR="00CE744B" w:rsidRPr="00CE744B">
              <w:rPr>
                <w:spacing w:val="-12"/>
              </w:rPr>
              <w:t xml:space="preserve"> </w:t>
            </w:r>
            <w:r w:rsidR="00CE744B" w:rsidRPr="00CE744B">
              <w:t>patients</w:t>
            </w:r>
            <w:r w:rsidR="00CE744B" w:rsidRPr="00CE744B">
              <w:rPr>
                <w:spacing w:val="-11"/>
              </w:rPr>
              <w:t xml:space="preserve"> </w:t>
            </w:r>
            <w:r w:rsidR="00CE744B" w:rsidRPr="00CE744B">
              <w:t>who</w:t>
            </w:r>
            <w:r w:rsidR="00CE744B" w:rsidRPr="00CE744B">
              <w:rPr>
                <w:spacing w:val="-12"/>
              </w:rPr>
              <w:t xml:space="preserve"> </w:t>
            </w:r>
            <w:r w:rsidR="00CE744B" w:rsidRPr="00CE744B">
              <w:t>stop</w:t>
            </w:r>
            <w:r w:rsidR="00CE744B" w:rsidRPr="00CE744B">
              <w:rPr>
                <w:spacing w:val="-11"/>
              </w:rPr>
              <w:t xml:space="preserve"> </w:t>
            </w:r>
            <w:r w:rsidR="00CE744B" w:rsidRPr="00CE744B">
              <w:t>denosumab,</w:t>
            </w:r>
            <w:r w:rsidR="00CE744B" w:rsidRPr="00CE744B">
              <w:rPr>
                <w:spacing w:val="-11"/>
              </w:rPr>
              <w:t xml:space="preserve"> </w:t>
            </w:r>
            <w:r w:rsidR="00CE744B" w:rsidRPr="00CE744B">
              <w:t>particularly if they have had prior vertebral fractures.</w:t>
            </w:r>
            <w:r w:rsidR="00CE744B" w:rsidRPr="00290E5E">
              <w:rPr>
                <w:position w:val="8"/>
                <w:sz w:val="16"/>
                <w:szCs w:val="16"/>
              </w:rPr>
              <w:t xml:space="preserve">8,11 </w:t>
            </w:r>
            <w:r w:rsidR="00CE744B" w:rsidRPr="00CE744B">
              <w:t xml:space="preserve">Bone loss following denosumab cessation can be attenuated (but not stopped) by changing to another treatment such as </w:t>
            </w:r>
            <w:r w:rsidR="000F318C">
              <w:t>a</w:t>
            </w:r>
            <w:r w:rsidR="00CE744B" w:rsidRPr="00CE744B">
              <w:t xml:space="preserve"> bisphosphonate.</w:t>
            </w:r>
            <w:r w:rsidR="00CE744B" w:rsidRPr="00290E5E">
              <w:rPr>
                <w:position w:val="8"/>
                <w:sz w:val="16"/>
                <w:szCs w:val="16"/>
              </w:rPr>
              <w:t>9</w:t>
            </w:r>
            <w:r w:rsidR="00CE744B" w:rsidRPr="00CE744B">
              <w:rPr>
                <w:position w:val="8"/>
              </w:rPr>
              <w:t xml:space="preserve"> </w:t>
            </w:r>
            <w:bookmarkStart w:id="8" w:name="_Hlk187058137"/>
            <w:r w:rsidR="00CE744B" w:rsidRPr="00CE744B">
              <w:t>Denosumab should therefore not be stopped without specialist review</w:t>
            </w:r>
            <w:r w:rsidR="000F318C">
              <w:t>.</w:t>
            </w:r>
            <w:r w:rsidR="00CE744B" w:rsidRPr="00290E5E">
              <w:rPr>
                <w:position w:val="8"/>
                <w:sz w:val="16"/>
                <w:szCs w:val="16"/>
              </w:rPr>
              <w:t>10,11</w:t>
            </w:r>
          </w:p>
          <w:bookmarkEnd w:id="8"/>
          <w:p w14:paraId="710857F8" w14:textId="724C28BF" w:rsidR="009E2543" w:rsidRPr="00FB404F" w:rsidRDefault="009E2543" w:rsidP="009E2543">
            <w:pPr>
              <w:pStyle w:val="BodyText"/>
              <w:ind w:right="662"/>
              <w:jc w:val="both"/>
            </w:pPr>
          </w:p>
        </w:tc>
      </w:tr>
      <w:tr w:rsidR="00210168" w:rsidRPr="00F321FC" w14:paraId="6C4BBB85" w14:textId="77777777" w:rsidTr="00F42E9B">
        <w:trPr>
          <w:trHeight w:val="642"/>
        </w:trPr>
        <w:tc>
          <w:tcPr>
            <w:tcW w:w="2261" w:type="dxa"/>
            <w:tcBorders>
              <w:bottom w:val="single" w:sz="4" w:space="0" w:color="auto"/>
            </w:tcBorders>
          </w:tcPr>
          <w:p w14:paraId="60A49E39" w14:textId="67595B95" w:rsidR="00210168" w:rsidRPr="00F321FC" w:rsidRDefault="008A7788" w:rsidP="00D31D08">
            <w:pPr>
              <w:pStyle w:val="Heading2"/>
              <w:rPr>
                <w:rFonts w:cs="Arial"/>
              </w:rPr>
            </w:pPr>
            <w:r>
              <w:rPr>
                <w:rFonts w:cs="Arial"/>
              </w:rPr>
              <w:lastRenderedPageBreak/>
              <w:t>Responsibilities of the specialist</w:t>
            </w:r>
          </w:p>
        </w:tc>
        <w:tc>
          <w:tcPr>
            <w:tcW w:w="8200" w:type="dxa"/>
            <w:tcBorders>
              <w:bottom w:val="single" w:sz="4" w:space="0" w:color="auto"/>
            </w:tcBorders>
          </w:tcPr>
          <w:p w14:paraId="74F49A07" w14:textId="567B46FB" w:rsidR="00210168" w:rsidRDefault="00210168" w:rsidP="00207EB4">
            <w:pPr>
              <w:pStyle w:val="BodyText"/>
              <w:numPr>
                <w:ilvl w:val="0"/>
                <w:numId w:val="6"/>
              </w:numPr>
              <w:spacing w:line="276" w:lineRule="auto"/>
              <w:ind w:left="753" w:hanging="425"/>
            </w:pPr>
            <w:r w:rsidRPr="00210168">
              <w:t xml:space="preserve">To </w:t>
            </w:r>
            <w:r w:rsidR="00A779AC">
              <w:t xml:space="preserve">advise </w:t>
            </w:r>
            <w:r w:rsidR="008C7656">
              <w:t xml:space="preserve">and recommend </w:t>
            </w:r>
            <w:r w:rsidR="00A779AC">
              <w:t>when</w:t>
            </w:r>
            <w:r w:rsidRPr="00210168">
              <w:t xml:space="preserve"> denosumab therapy </w:t>
            </w:r>
            <w:r w:rsidR="00A779AC">
              <w:t xml:space="preserve">is </w:t>
            </w:r>
            <w:r w:rsidRPr="00210168">
              <w:t>appropriate.</w:t>
            </w:r>
          </w:p>
          <w:p w14:paraId="06E8F9F6" w14:textId="760DF24A" w:rsidR="00207EB4" w:rsidRDefault="00207EB4" w:rsidP="00207EB4">
            <w:pPr>
              <w:pStyle w:val="BodyText"/>
              <w:numPr>
                <w:ilvl w:val="0"/>
                <w:numId w:val="6"/>
              </w:numPr>
              <w:spacing w:line="276" w:lineRule="auto"/>
              <w:ind w:left="753" w:hanging="425"/>
            </w:pPr>
            <w:r w:rsidRPr="00207EB4">
              <w:t>To counsel the p</w:t>
            </w:r>
            <w:r w:rsidR="008A7788" w:rsidRPr="00207EB4">
              <w:t>atient</w:t>
            </w:r>
            <w:r w:rsidR="009E2543">
              <w:t>.</w:t>
            </w:r>
          </w:p>
          <w:p w14:paraId="4BEF25A4" w14:textId="1014F639" w:rsidR="00115C23" w:rsidRDefault="00115C23" w:rsidP="00207EB4">
            <w:pPr>
              <w:pStyle w:val="BodyText"/>
              <w:numPr>
                <w:ilvl w:val="1"/>
                <w:numId w:val="6"/>
              </w:numPr>
              <w:spacing w:line="276" w:lineRule="auto"/>
            </w:pPr>
            <w:r>
              <w:t>About the benefits and risks of treatment</w:t>
            </w:r>
            <w:r w:rsidR="009E2543">
              <w:t>.</w:t>
            </w:r>
          </w:p>
          <w:p w14:paraId="4BB91227" w14:textId="0F36AD92" w:rsidR="00115C23" w:rsidRDefault="00115C23" w:rsidP="00207EB4">
            <w:pPr>
              <w:pStyle w:val="BodyText"/>
              <w:numPr>
                <w:ilvl w:val="1"/>
                <w:numId w:val="6"/>
              </w:numPr>
              <w:spacing w:line="276" w:lineRule="auto"/>
            </w:pPr>
            <w:r>
              <w:t>To emphasise the importance of scrupulous oral hygiene</w:t>
            </w:r>
            <w:r w:rsidR="00E46D73">
              <w:t xml:space="preserve"> and regular dental checks. If there are any concerns about this a dental checkup prior to starting treatment is recommended</w:t>
            </w:r>
            <w:r w:rsidR="009E2543">
              <w:t>.</w:t>
            </w:r>
          </w:p>
          <w:p w14:paraId="59A8B3A6" w14:textId="11D8AC24" w:rsidR="00207EB4" w:rsidRDefault="008A7788" w:rsidP="00207EB4">
            <w:pPr>
              <w:pStyle w:val="BodyText"/>
              <w:numPr>
                <w:ilvl w:val="1"/>
                <w:numId w:val="6"/>
              </w:numPr>
              <w:spacing w:line="276" w:lineRule="auto"/>
            </w:pPr>
            <w:r w:rsidRPr="00207EB4">
              <w:t xml:space="preserve">About the expected duration of </w:t>
            </w:r>
            <w:proofErr w:type="gramStart"/>
            <w:r w:rsidRPr="00207EB4">
              <w:t>treatment</w:t>
            </w:r>
            <w:r w:rsidR="00207EB4">
              <w:t>;</w:t>
            </w:r>
            <w:proofErr w:type="gramEnd"/>
            <w:r w:rsidR="00207EB4">
              <w:t xml:space="preserve"> </w:t>
            </w:r>
            <w:r w:rsidR="00BE4C72">
              <w:t>t</w:t>
            </w:r>
            <w:r w:rsidRPr="00207EB4">
              <w:t>hat treatment may be prolonged or lifelong as there is no clear way to discontinue denosumab</w:t>
            </w:r>
            <w:r w:rsidR="00207EB4">
              <w:t xml:space="preserve"> safely</w:t>
            </w:r>
            <w:r w:rsidR="009E2543">
              <w:t>.</w:t>
            </w:r>
          </w:p>
          <w:p w14:paraId="319A98B5" w14:textId="7AE4D768" w:rsidR="00207EB4" w:rsidRDefault="008A7788" w:rsidP="00207EB4">
            <w:pPr>
              <w:pStyle w:val="BodyText"/>
              <w:numPr>
                <w:ilvl w:val="1"/>
                <w:numId w:val="6"/>
              </w:numPr>
              <w:spacing w:line="276" w:lineRule="auto"/>
            </w:pPr>
            <w:r w:rsidRPr="00207EB4">
              <w:t>That delays to treatment may be harmful</w:t>
            </w:r>
            <w:r w:rsidR="009E2543">
              <w:t>.</w:t>
            </w:r>
          </w:p>
          <w:p w14:paraId="065C383E" w14:textId="77777777" w:rsidR="00207EB4" w:rsidRDefault="008A7788" w:rsidP="00207EB4">
            <w:pPr>
              <w:pStyle w:val="BodyText"/>
              <w:numPr>
                <w:ilvl w:val="1"/>
                <w:numId w:val="6"/>
              </w:numPr>
              <w:spacing w:line="276" w:lineRule="auto"/>
            </w:pPr>
            <w:r w:rsidRPr="00207EB4">
              <w:t>That they should not stop treatment without specialist advice</w:t>
            </w:r>
          </w:p>
          <w:p w14:paraId="07C572B3" w14:textId="3828AF90" w:rsidR="008A7788" w:rsidRPr="00207EB4" w:rsidRDefault="008A7788" w:rsidP="00207EB4">
            <w:pPr>
              <w:pStyle w:val="BodyText"/>
              <w:numPr>
                <w:ilvl w:val="1"/>
                <w:numId w:val="6"/>
              </w:numPr>
              <w:spacing w:line="276" w:lineRule="auto"/>
            </w:pPr>
            <w:r w:rsidRPr="00207EB4">
              <w:t>To report any side effects of treatment</w:t>
            </w:r>
            <w:r w:rsidR="00115C23">
              <w:t>, specifically symptoms of hypocalcaemia, hip pain, dental or ear problems</w:t>
            </w:r>
            <w:r w:rsidR="009E2543">
              <w:t>.</w:t>
            </w:r>
          </w:p>
          <w:p w14:paraId="4BFC2D69" w14:textId="0BE3E7AE" w:rsidR="008A7788" w:rsidRDefault="00207EB4" w:rsidP="00207EB4">
            <w:pPr>
              <w:pStyle w:val="BodyText"/>
              <w:numPr>
                <w:ilvl w:val="1"/>
                <w:numId w:val="6"/>
              </w:numPr>
              <w:spacing w:line="276" w:lineRule="auto"/>
            </w:pPr>
            <w:r>
              <w:t>About the frequency of specialist review</w:t>
            </w:r>
            <w:r w:rsidR="009E2543">
              <w:t>.</w:t>
            </w:r>
            <w:r>
              <w:t xml:space="preserve"> </w:t>
            </w:r>
          </w:p>
          <w:p w14:paraId="15249FCA" w14:textId="77777777" w:rsidR="00E46D73" w:rsidRDefault="00E46D73" w:rsidP="009E2543">
            <w:pPr>
              <w:pStyle w:val="BodyText"/>
              <w:numPr>
                <w:ilvl w:val="1"/>
                <w:numId w:val="6"/>
              </w:numPr>
              <w:spacing w:line="276" w:lineRule="auto"/>
            </w:pPr>
            <w:r>
              <w:t>Patient information regarding Denosumab is available from the Royal Osteoporosis Society website (</w:t>
            </w:r>
            <w:hyperlink r:id="rId14" w:history="1">
              <w:r w:rsidRPr="00D07F9B">
                <w:rPr>
                  <w:rStyle w:val="Hyperlink"/>
                </w:rPr>
                <w:t>https://theros.org.uk/information-and-support/osteoporosis/treatment/denosumab/</w:t>
              </w:r>
            </w:hyperlink>
            <w:r>
              <w:t xml:space="preserve"> )</w:t>
            </w:r>
          </w:p>
          <w:p w14:paraId="5FD58980" w14:textId="413BB2D0" w:rsidR="00207EB4" w:rsidRDefault="00E46D73" w:rsidP="00207EB4">
            <w:pPr>
              <w:pStyle w:val="BodyText"/>
              <w:numPr>
                <w:ilvl w:val="0"/>
                <w:numId w:val="6"/>
              </w:numPr>
              <w:spacing w:line="276" w:lineRule="auto"/>
              <w:ind w:left="753" w:hanging="425"/>
            </w:pPr>
            <w:r>
              <w:t>Arrange b</w:t>
            </w:r>
            <w:r w:rsidR="00207EB4">
              <w:t xml:space="preserve">aseline monitoring to include U&amp;E, </w:t>
            </w:r>
            <w:r w:rsidR="00FE727F">
              <w:t xml:space="preserve">liver function, </w:t>
            </w:r>
            <w:r w:rsidR="00207EB4">
              <w:t>calcium, phosphate and vitamin D levels</w:t>
            </w:r>
            <w:r w:rsidR="009E2543">
              <w:t>.</w:t>
            </w:r>
          </w:p>
          <w:p w14:paraId="342B8F9A" w14:textId="538ECBE6" w:rsidR="00207EB4" w:rsidRDefault="00207EB4" w:rsidP="00E464CB">
            <w:pPr>
              <w:pStyle w:val="ListParagraph"/>
              <w:widowControl w:val="0"/>
              <w:numPr>
                <w:ilvl w:val="1"/>
                <w:numId w:val="6"/>
              </w:numPr>
              <w:tabs>
                <w:tab w:val="left" w:pos="1120"/>
              </w:tabs>
              <w:autoSpaceDE w:val="0"/>
              <w:autoSpaceDN w:val="0"/>
              <w:spacing w:before="0" w:after="120" w:line="276" w:lineRule="auto"/>
              <w:ind w:right="660"/>
              <w:jc w:val="both"/>
            </w:pPr>
            <w:r w:rsidRPr="00207EB4">
              <w:t>Patients must be calcium (serum adjusted calcium</w:t>
            </w:r>
            <w:r w:rsidR="00587B31">
              <w:t xml:space="preserve"> within the normal range</w:t>
            </w:r>
            <w:r w:rsidRPr="00207EB4">
              <w:t>) and vitamin D replete (serum 25-OH-Vit D &gt;50 nmol/l) before and during treatment with</w:t>
            </w:r>
            <w:r w:rsidRPr="00207EB4">
              <w:rPr>
                <w:spacing w:val="-1"/>
              </w:rPr>
              <w:t xml:space="preserve"> </w:t>
            </w:r>
            <w:r w:rsidRPr="00207EB4">
              <w:t>denosumab.</w:t>
            </w:r>
          </w:p>
          <w:p w14:paraId="1F93E8A0" w14:textId="50405368" w:rsidR="00207EB4" w:rsidRDefault="00207EB4" w:rsidP="00E464CB">
            <w:pPr>
              <w:pStyle w:val="BodyText"/>
              <w:numPr>
                <w:ilvl w:val="1"/>
                <w:numId w:val="6"/>
              </w:numPr>
              <w:spacing w:line="276" w:lineRule="auto"/>
            </w:pPr>
            <w:r>
              <w:t>If the patient is vitamin D deficient or insufficient, this will require correction before initiating treatment</w:t>
            </w:r>
            <w:r w:rsidR="009E2543">
              <w:t>.</w:t>
            </w:r>
          </w:p>
          <w:p w14:paraId="200EDA26" w14:textId="77777777" w:rsidR="00565697" w:rsidRDefault="00207EB4" w:rsidP="00115C23">
            <w:pPr>
              <w:pStyle w:val="BodyText"/>
              <w:numPr>
                <w:ilvl w:val="0"/>
                <w:numId w:val="6"/>
              </w:numPr>
              <w:spacing w:line="276" w:lineRule="auto"/>
              <w:ind w:left="753" w:hanging="425"/>
            </w:pPr>
            <w:r>
              <w:t>Transfer of monitoring and prescribing to primary care will usually be after the first dose has been given. It is vitally important that clear information is given about when the second and subsequent doses will need to be given.</w:t>
            </w:r>
            <w:bookmarkStart w:id="9" w:name="Responsibilities_of_the_Specialist"/>
            <w:bookmarkEnd w:id="9"/>
            <w:r w:rsidR="00E46D73">
              <w:t xml:space="preserve"> </w:t>
            </w:r>
          </w:p>
          <w:p w14:paraId="564318CB" w14:textId="28311305" w:rsidR="00210168" w:rsidRDefault="00D06813" w:rsidP="00115C23">
            <w:pPr>
              <w:pStyle w:val="BodyText"/>
              <w:numPr>
                <w:ilvl w:val="0"/>
                <w:numId w:val="6"/>
              </w:numPr>
              <w:spacing w:line="276" w:lineRule="auto"/>
              <w:ind w:left="753" w:hanging="425"/>
            </w:pPr>
            <w:r>
              <w:t>Patients with CKD4 or CKD</w:t>
            </w:r>
            <w:proofErr w:type="gramStart"/>
            <w:r>
              <w:t>5  (</w:t>
            </w:r>
            <w:proofErr w:type="gramEnd"/>
            <w:r w:rsidR="00565697">
              <w:t xml:space="preserve">eGFR or </w:t>
            </w:r>
            <w:proofErr w:type="spellStart"/>
            <w:r>
              <w:t>CrCl</w:t>
            </w:r>
            <w:proofErr w:type="spellEnd"/>
            <w:r>
              <w:t xml:space="preserve"> &lt;30ml/min) are not suitable for primary care management and should remain under secondary care.</w:t>
            </w:r>
          </w:p>
          <w:p w14:paraId="0E7046E2" w14:textId="0EA729D1" w:rsidR="008828B4" w:rsidRDefault="008828B4" w:rsidP="00115C23">
            <w:pPr>
              <w:pStyle w:val="BodyText"/>
              <w:numPr>
                <w:ilvl w:val="0"/>
                <w:numId w:val="6"/>
              </w:numPr>
              <w:spacing w:line="276" w:lineRule="auto"/>
              <w:ind w:left="753" w:hanging="425"/>
            </w:pPr>
            <w:r>
              <w:t xml:space="preserve">Review the patient </w:t>
            </w:r>
            <w:r w:rsidR="00D06813">
              <w:t>every 3 years</w:t>
            </w:r>
            <w:r>
              <w:t xml:space="preserve"> and confirm that denosumab remains suitable for ongoing treatment</w:t>
            </w:r>
          </w:p>
          <w:p w14:paraId="72AC2E90" w14:textId="2D85EF02" w:rsidR="00E46D73" w:rsidRDefault="00565697" w:rsidP="00115C23">
            <w:pPr>
              <w:pStyle w:val="BodyText"/>
              <w:numPr>
                <w:ilvl w:val="0"/>
                <w:numId w:val="6"/>
              </w:numPr>
              <w:spacing w:line="276" w:lineRule="auto"/>
              <w:ind w:left="753" w:hanging="425"/>
            </w:pPr>
            <w:r>
              <w:t>Arrange</w:t>
            </w:r>
            <w:r w:rsidR="00E46D73">
              <w:t xml:space="preserve"> repeat DEXA scanning </w:t>
            </w:r>
            <w:r w:rsidR="00471907">
              <w:t>w</w:t>
            </w:r>
            <w:r>
              <w:t>hen</w:t>
            </w:r>
            <w:r w:rsidR="00471907">
              <w:t xml:space="preserve"> </w:t>
            </w:r>
            <w:r w:rsidR="00E46D73">
              <w:t>required</w:t>
            </w:r>
            <w:r w:rsidR="009E2543">
              <w:t>.</w:t>
            </w:r>
          </w:p>
          <w:p w14:paraId="2656D590" w14:textId="06A5DBFC" w:rsidR="00E46D73" w:rsidRDefault="00C57AE2" w:rsidP="00E464CB">
            <w:pPr>
              <w:pStyle w:val="BodyText"/>
              <w:numPr>
                <w:ilvl w:val="0"/>
                <w:numId w:val="6"/>
              </w:numPr>
              <w:spacing w:line="276" w:lineRule="auto"/>
              <w:ind w:left="753" w:hanging="425"/>
            </w:pPr>
            <w:r>
              <w:t xml:space="preserve">In the event that it becomes necessary to stop denosumab, advise on how </w:t>
            </w:r>
            <w:r>
              <w:lastRenderedPageBreak/>
              <w:t>best to safely deprescribe in order to minimise impact of drug offset</w:t>
            </w:r>
            <w:r w:rsidR="00E464CB">
              <w:t>.</w:t>
            </w:r>
          </w:p>
        </w:tc>
      </w:tr>
      <w:tr w:rsidR="00207EB4" w:rsidRPr="00F321FC" w14:paraId="03ACFD2C" w14:textId="77777777" w:rsidTr="00F42E9B">
        <w:trPr>
          <w:trHeight w:val="277"/>
        </w:trPr>
        <w:tc>
          <w:tcPr>
            <w:tcW w:w="2261" w:type="dxa"/>
            <w:tcBorders>
              <w:top w:val="single" w:sz="4" w:space="0" w:color="auto"/>
            </w:tcBorders>
          </w:tcPr>
          <w:p w14:paraId="5E2803F3" w14:textId="2B4960DA" w:rsidR="00207EB4" w:rsidRDefault="005221EF" w:rsidP="00D31D08">
            <w:pPr>
              <w:pStyle w:val="Heading2"/>
              <w:rPr>
                <w:rFonts w:cs="Arial"/>
              </w:rPr>
            </w:pPr>
            <w:r>
              <w:rPr>
                <w:rFonts w:cs="Arial"/>
              </w:rPr>
              <w:lastRenderedPageBreak/>
              <w:t>Responsibilities within primary care and ongoing monitoring</w:t>
            </w:r>
          </w:p>
        </w:tc>
        <w:tc>
          <w:tcPr>
            <w:tcW w:w="8200" w:type="dxa"/>
            <w:tcBorders>
              <w:top w:val="single" w:sz="4" w:space="0" w:color="auto"/>
            </w:tcBorders>
          </w:tcPr>
          <w:p w14:paraId="7A8C930F" w14:textId="6CAA54FF" w:rsidR="00115C23" w:rsidRDefault="00115C23" w:rsidP="00E46D73">
            <w:pPr>
              <w:pStyle w:val="ListParagraph"/>
              <w:numPr>
                <w:ilvl w:val="0"/>
                <w:numId w:val="12"/>
              </w:numPr>
              <w:ind w:left="753" w:hanging="425"/>
            </w:pPr>
            <w:r>
              <w:t xml:space="preserve">Prescribe denosumab 60mg </w:t>
            </w:r>
            <w:proofErr w:type="spellStart"/>
            <w:r>
              <w:t>sc</w:t>
            </w:r>
            <w:proofErr w:type="spellEnd"/>
            <w:r>
              <w:t xml:space="preserve"> every six months. Denosumab may be administered by a practice or district nurse</w:t>
            </w:r>
            <w:r w:rsidR="00BE4C72">
              <w:t xml:space="preserve"> </w:t>
            </w:r>
            <w:r>
              <w:t>or self-administered by the patient or relative as is convenient.</w:t>
            </w:r>
          </w:p>
          <w:p w14:paraId="6F9866EE" w14:textId="2A13AF7F" w:rsidR="00115C23" w:rsidRPr="00115C23" w:rsidRDefault="00115C23" w:rsidP="00E46D73">
            <w:pPr>
              <w:pStyle w:val="ListParagraph"/>
              <w:numPr>
                <w:ilvl w:val="0"/>
                <w:numId w:val="12"/>
              </w:numPr>
              <w:ind w:left="753" w:hanging="425"/>
            </w:pPr>
            <w:r w:rsidRPr="00115C23">
              <w:t>Prescribe vitamin D supplements (</w:t>
            </w:r>
            <w:proofErr w:type="spellStart"/>
            <w:r w:rsidRPr="00115C23">
              <w:t>colecalciferol</w:t>
            </w:r>
            <w:proofErr w:type="spellEnd"/>
            <w:r w:rsidRPr="00115C23">
              <w:t xml:space="preserve"> 800iu daily) to all patients on denosumab</w:t>
            </w:r>
            <w:r w:rsidR="009E2543">
              <w:t>.</w:t>
            </w:r>
          </w:p>
          <w:p w14:paraId="2F2A1ABD" w14:textId="775F0C88" w:rsidR="00115C23" w:rsidRPr="00115C23" w:rsidRDefault="00115C23" w:rsidP="00E46D73">
            <w:pPr>
              <w:pStyle w:val="ListParagraph"/>
              <w:numPr>
                <w:ilvl w:val="0"/>
                <w:numId w:val="12"/>
              </w:numPr>
              <w:ind w:left="753" w:hanging="425"/>
            </w:pPr>
            <w:r>
              <w:t xml:space="preserve">Check U&amp;E, calcium, phosphate and vitamin D levels </w:t>
            </w:r>
            <w:r w:rsidR="00E46D73">
              <w:t xml:space="preserve">four </w:t>
            </w:r>
            <w:r>
              <w:t xml:space="preserve">weeks prior to each dose, </w:t>
            </w:r>
            <w:r w:rsidR="00E46D73">
              <w:t xml:space="preserve">to allow time to </w:t>
            </w:r>
            <w:r>
              <w:t xml:space="preserve">provide additional vitamin D supplementation </w:t>
            </w:r>
            <w:r w:rsidR="00E46D73">
              <w:t xml:space="preserve">if necessary </w:t>
            </w:r>
            <w:r>
              <w:t xml:space="preserve">to ensure </w:t>
            </w:r>
            <w:r w:rsidR="00471907">
              <w:t>treatment</w:t>
            </w:r>
            <w:r>
              <w:t xml:space="preserve"> of any deficiency or insufficiency prior to dosing</w:t>
            </w:r>
          </w:p>
          <w:p w14:paraId="06A5F151" w14:textId="77777777" w:rsidR="00E46D73" w:rsidRDefault="00E46D73" w:rsidP="00E46D73">
            <w:pPr>
              <w:pStyle w:val="ListParagraph"/>
              <w:widowControl w:val="0"/>
              <w:tabs>
                <w:tab w:val="left" w:pos="1120"/>
              </w:tabs>
              <w:autoSpaceDE w:val="0"/>
              <w:autoSpaceDN w:val="0"/>
              <w:spacing w:before="0" w:after="0" w:line="276" w:lineRule="auto"/>
              <w:ind w:left="753" w:hanging="425"/>
            </w:pPr>
          </w:p>
          <w:p w14:paraId="0FA5D9CF" w14:textId="062EE27E" w:rsidR="00207EB4" w:rsidRPr="00210168" w:rsidRDefault="00207EB4" w:rsidP="00E46D73">
            <w:pPr>
              <w:widowControl w:val="0"/>
              <w:tabs>
                <w:tab w:val="left" w:pos="1120"/>
              </w:tabs>
              <w:autoSpaceDE w:val="0"/>
              <w:autoSpaceDN w:val="0"/>
              <w:spacing w:before="0" w:after="0" w:line="276" w:lineRule="auto"/>
              <w:ind w:left="753" w:hanging="709"/>
            </w:pPr>
            <w:r w:rsidRPr="00210168">
              <w:t>Seek</w:t>
            </w:r>
            <w:r w:rsidRPr="00E46D73">
              <w:rPr>
                <w:spacing w:val="-10"/>
              </w:rPr>
              <w:t xml:space="preserve"> </w:t>
            </w:r>
            <w:r w:rsidR="00E46D73">
              <w:rPr>
                <w:spacing w:val="-10"/>
              </w:rPr>
              <w:t xml:space="preserve">advice from the </w:t>
            </w:r>
            <w:r w:rsidRPr="00210168">
              <w:t>specialist</w:t>
            </w:r>
            <w:r w:rsidRPr="00E46D73">
              <w:rPr>
                <w:spacing w:val="-11"/>
              </w:rPr>
              <w:t xml:space="preserve"> </w:t>
            </w:r>
            <w:r w:rsidR="00565697">
              <w:rPr>
                <w:spacing w:val="-11"/>
              </w:rPr>
              <w:t>involved in shared care</w:t>
            </w:r>
            <w:r w:rsidRPr="00E46D73">
              <w:rPr>
                <w:spacing w:val="-11"/>
              </w:rPr>
              <w:t xml:space="preserve"> </w:t>
            </w:r>
          </w:p>
          <w:p w14:paraId="68A1A32D" w14:textId="6B498B7A" w:rsidR="00207EB4" w:rsidRDefault="00207EB4" w:rsidP="009E2543">
            <w:pPr>
              <w:pStyle w:val="ListParagraph"/>
              <w:widowControl w:val="0"/>
              <w:numPr>
                <w:ilvl w:val="1"/>
                <w:numId w:val="6"/>
              </w:numPr>
              <w:tabs>
                <w:tab w:val="left" w:pos="1118"/>
              </w:tabs>
              <w:autoSpaceDE w:val="0"/>
              <w:autoSpaceDN w:val="0"/>
              <w:spacing w:before="120" w:after="120"/>
              <w:ind w:left="753" w:hanging="425"/>
            </w:pPr>
            <w:r w:rsidRPr="00210168">
              <w:t xml:space="preserve">5 </w:t>
            </w:r>
            <w:r>
              <w:t>and 1</w:t>
            </w:r>
            <w:r w:rsidRPr="00210168">
              <w:t xml:space="preserve">0 years </w:t>
            </w:r>
            <w:r>
              <w:t>after initiating treatment</w:t>
            </w:r>
            <w:r w:rsidR="00E46D73">
              <w:t>, if not already reviewed by secondary care</w:t>
            </w:r>
            <w:r w:rsidR="009E2543">
              <w:t>.</w:t>
            </w:r>
          </w:p>
          <w:p w14:paraId="384A61B3" w14:textId="72EC455F" w:rsidR="00F566BB" w:rsidRDefault="00F566BB" w:rsidP="009E2543">
            <w:pPr>
              <w:pStyle w:val="ListParagraph"/>
              <w:widowControl w:val="0"/>
              <w:numPr>
                <w:ilvl w:val="1"/>
                <w:numId w:val="6"/>
              </w:numPr>
              <w:tabs>
                <w:tab w:val="left" w:pos="1118"/>
              </w:tabs>
              <w:autoSpaceDE w:val="0"/>
              <w:autoSpaceDN w:val="0"/>
              <w:spacing w:before="120" w:after="120"/>
              <w:ind w:left="753" w:hanging="425"/>
            </w:pPr>
            <w:r>
              <w:t xml:space="preserve">If the patient becomes </w:t>
            </w:r>
            <w:proofErr w:type="spellStart"/>
            <w:r>
              <w:t>hypocalcaemic</w:t>
            </w:r>
            <w:proofErr w:type="spellEnd"/>
            <w:r>
              <w:t>, or there are difficulties maintaining adequate levels of vitamin D</w:t>
            </w:r>
            <w:r w:rsidR="009E2543">
              <w:t>.</w:t>
            </w:r>
          </w:p>
          <w:p w14:paraId="1BFDF268" w14:textId="2470D6EB" w:rsidR="00207EB4" w:rsidRDefault="009E2543" w:rsidP="009E2543">
            <w:pPr>
              <w:pStyle w:val="ListParagraph"/>
              <w:widowControl w:val="0"/>
              <w:numPr>
                <w:ilvl w:val="1"/>
                <w:numId w:val="6"/>
              </w:numPr>
              <w:tabs>
                <w:tab w:val="left" w:pos="1118"/>
              </w:tabs>
              <w:autoSpaceDE w:val="0"/>
              <w:autoSpaceDN w:val="0"/>
              <w:spacing w:before="120" w:after="120"/>
              <w:ind w:left="753" w:hanging="425"/>
            </w:pPr>
            <w:r>
              <w:t>I</w:t>
            </w:r>
            <w:r w:rsidR="00207EB4" w:rsidRPr="00210168">
              <w:t xml:space="preserve">f there are concerns about serious side effects e.g. </w:t>
            </w:r>
            <w:r w:rsidR="00207EB4">
              <w:t xml:space="preserve">hypocalcaemia, </w:t>
            </w:r>
            <w:r w:rsidR="00207EB4" w:rsidRPr="00210168">
              <w:t>atypical femoral fractures</w:t>
            </w:r>
            <w:r w:rsidR="00E46D73">
              <w:t xml:space="preserve">, or osteonecrosis of the jaw or external auditory meatus, </w:t>
            </w:r>
            <w:r w:rsidR="00207EB4" w:rsidRPr="00210168">
              <w:t>prior to giving the next</w:t>
            </w:r>
            <w:r w:rsidR="00207EB4" w:rsidRPr="00297296">
              <w:rPr>
                <w:spacing w:val="-3"/>
              </w:rPr>
              <w:t xml:space="preserve"> </w:t>
            </w:r>
            <w:r w:rsidR="00207EB4" w:rsidRPr="00210168">
              <w:t>injection.</w:t>
            </w:r>
          </w:p>
          <w:p w14:paraId="78493953" w14:textId="6701AE25" w:rsidR="00207EB4" w:rsidRDefault="00207EB4" w:rsidP="009E2543">
            <w:pPr>
              <w:pStyle w:val="ListParagraph"/>
              <w:widowControl w:val="0"/>
              <w:numPr>
                <w:ilvl w:val="1"/>
                <w:numId w:val="6"/>
              </w:numPr>
              <w:tabs>
                <w:tab w:val="left" w:pos="1118"/>
              </w:tabs>
              <w:autoSpaceDE w:val="0"/>
              <w:autoSpaceDN w:val="0"/>
              <w:spacing w:before="120" w:after="120"/>
              <w:ind w:left="753" w:hanging="425"/>
            </w:pPr>
            <w:r>
              <w:t xml:space="preserve">If </w:t>
            </w:r>
            <w:r w:rsidR="00565697">
              <w:t xml:space="preserve">eGFR (or </w:t>
            </w:r>
            <w:r>
              <w:t xml:space="preserve">creatinine clearance </w:t>
            </w:r>
            <w:r w:rsidR="00565697">
              <w:t>(</w:t>
            </w:r>
            <w:proofErr w:type="spellStart"/>
            <w:r w:rsidR="00565697">
              <w:t>CrCl</w:t>
            </w:r>
            <w:proofErr w:type="spellEnd"/>
            <w:r w:rsidR="00565697">
              <w:t xml:space="preserve">)) </w:t>
            </w:r>
            <w:r>
              <w:t>drops &lt;3</w:t>
            </w:r>
            <w:r w:rsidR="00F64ED9">
              <w:t>0</w:t>
            </w:r>
            <w:r>
              <w:t xml:space="preserve"> ml/min; p</w:t>
            </w:r>
            <w:r w:rsidRPr="00210168">
              <w:t xml:space="preserve">atients with </w:t>
            </w:r>
            <w:r w:rsidR="00565697">
              <w:t>eGFR</w:t>
            </w:r>
            <w:r w:rsidRPr="00210168">
              <w:t>&lt;3</w:t>
            </w:r>
            <w:r w:rsidR="00F64ED9">
              <w:t>0</w:t>
            </w:r>
            <w:r w:rsidRPr="00210168">
              <w:t xml:space="preserve"> ml/min </w:t>
            </w:r>
            <w:r>
              <w:t xml:space="preserve">will require closer monitoring for hypocalcaemia with repeat calcium levels </w:t>
            </w:r>
            <w:r w:rsidR="00ED6E22">
              <w:t xml:space="preserve">within </w:t>
            </w:r>
            <w:r w:rsidR="00855D13">
              <w:t>two</w:t>
            </w:r>
            <w:r>
              <w:t xml:space="preserve"> weeks after each denosumab dose. </w:t>
            </w:r>
            <w:r w:rsidR="00565697">
              <w:t>These patients should be moved back to secondary care.</w:t>
            </w:r>
          </w:p>
          <w:p w14:paraId="2C29122D" w14:textId="2D155C70" w:rsidR="00207EB4" w:rsidRDefault="009E2543" w:rsidP="009E2543">
            <w:pPr>
              <w:pStyle w:val="ListParagraph"/>
              <w:widowControl w:val="0"/>
              <w:numPr>
                <w:ilvl w:val="1"/>
                <w:numId w:val="6"/>
              </w:numPr>
              <w:tabs>
                <w:tab w:val="left" w:pos="1118"/>
              </w:tabs>
              <w:autoSpaceDE w:val="0"/>
              <w:autoSpaceDN w:val="0"/>
              <w:spacing w:before="120" w:after="120"/>
              <w:ind w:left="753" w:hanging="425"/>
            </w:pPr>
            <w:r>
              <w:t>I</w:t>
            </w:r>
            <w:r w:rsidR="00207EB4" w:rsidRPr="00210168">
              <w:t>f the patient sustains a fragility fracture whilst on</w:t>
            </w:r>
            <w:r w:rsidR="00207EB4" w:rsidRPr="00E531DD">
              <w:rPr>
                <w:spacing w:val="-9"/>
              </w:rPr>
              <w:t xml:space="preserve"> </w:t>
            </w:r>
            <w:r w:rsidR="00207EB4" w:rsidRPr="00210168">
              <w:t>denosumab.</w:t>
            </w:r>
          </w:p>
          <w:p w14:paraId="480D6DCB" w14:textId="0476B241" w:rsidR="00F64ED9" w:rsidRDefault="00F64ED9" w:rsidP="009E2543">
            <w:pPr>
              <w:pStyle w:val="ListParagraph"/>
              <w:widowControl w:val="0"/>
              <w:numPr>
                <w:ilvl w:val="1"/>
                <w:numId w:val="6"/>
              </w:numPr>
              <w:tabs>
                <w:tab w:val="left" w:pos="1118"/>
              </w:tabs>
              <w:autoSpaceDE w:val="0"/>
              <w:autoSpaceDN w:val="0"/>
              <w:spacing w:before="120" w:after="120"/>
              <w:ind w:left="753" w:hanging="425"/>
            </w:pPr>
            <w:r>
              <w:t>If there is a need for dental surgery whilst on denosumab</w:t>
            </w:r>
            <w:r w:rsidR="004302D1">
              <w:t>; ideally the dentist should liaise directly with the specialist.</w:t>
            </w:r>
          </w:p>
          <w:p w14:paraId="5639F81D" w14:textId="517AB4DE" w:rsidR="00C57AE2" w:rsidRDefault="00C57AE2" w:rsidP="009E2543">
            <w:pPr>
              <w:pStyle w:val="ListParagraph"/>
              <w:widowControl w:val="0"/>
              <w:numPr>
                <w:ilvl w:val="1"/>
                <w:numId w:val="6"/>
              </w:numPr>
              <w:tabs>
                <w:tab w:val="left" w:pos="1118"/>
              </w:tabs>
              <w:autoSpaceDE w:val="0"/>
              <w:autoSpaceDN w:val="0"/>
              <w:spacing w:before="120" w:after="120"/>
              <w:ind w:left="753" w:hanging="425"/>
            </w:pPr>
            <w:r>
              <w:t>If there is a consistent failure to follow the six</w:t>
            </w:r>
            <w:r w:rsidR="00C97EE8">
              <w:t>-</w:t>
            </w:r>
            <w:r>
              <w:t>monthly injection regime, such that denosumab may not be an effective or safe treatment for osteoporosis.</w:t>
            </w:r>
          </w:p>
          <w:p w14:paraId="47AED932" w14:textId="77777777" w:rsidR="00E464CB" w:rsidRDefault="00E464CB" w:rsidP="00E464CB">
            <w:pPr>
              <w:pStyle w:val="Heading1"/>
              <w:spacing w:before="0"/>
              <w:rPr>
                <w:sz w:val="22"/>
                <w:szCs w:val="22"/>
              </w:rPr>
            </w:pPr>
          </w:p>
          <w:p w14:paraId="3A24A06F" w14:textId="26272B24" w:rsidR="00207EB4" w:rsidRDefault="00207EB4" w:rsidP="009E2543">
            <w:pPr>
              <w:pStyle w:val="Heading1"/>
              <w:spacing w:line="276" w:lineRule="auto"/>
              <w:rPr>
                <w:sz w:val="22"/>
                <w:szCs w:val="22"/>
              </w:rPr>
            </w:pPr>
            <w:r w:rsidRPr="00210168">
              <w:rPr>
                <w:sz w:val="22"/>
                <w:szCs w:val="22"/>
              </w:rPr>
              <w:t>Responsibilities of the Patient</w:t>
            </w:r>
          </w:p>
          <w:p w14:paraId="2A2B9532" w14:textId="256F1316" w:rsidR="00207EB4" w:rsidRDefault="00207EB4" w:rsidP="009E2543">
            <w:pPr>
              <w:pStyle w:val="ListParagraph"/>
              <w:numPr>
                <w:ilvl w:val="0"/>
                <w:numId w:val="13"/>
              </w:numPr>
            </w:pPr>
            <w:r w:rsidRPr="00210168">
              <w:t xml:space="preserve">Take calcium and vitamin D </w:t>
            </w:r>
            <w:r>
              <w:t>supplements as directed</w:t>
            </w:r>
            <w:r w:rsidR="009E2543">
              <w:t>.</w:t>
            </w:r>
          </w:p>
          <w:p w14:paraId="650774F4" w14:textId="77777777" w:rsidR="00207EB4" w:rsidRDefault="00207EB4" w:rsidP="009E2543">
            <w:pPr>
              <w:pStyle w:val="ListParagraph"/>
              <w:numPr>
                <w:ilvl w:val="0"/>
                <w:numId w:val="13"/>
              </w:numPr>
            </w:pPr>
            <w:r w:rsidRPr="00210168">
              <w:t>Organise a dental check-up and undergo any corrective dentistry before starting denosumab</w:t>
            </w:r>
            <w:r>
              <w:t xml:space="preserve">. </w:t>
            </w:r>
          </w:p>
          <w:p w14:paraId="6A1EB404" w14:textId="1A71CFB9" w:rsidR="00207EB4" w:rsidRDefault="00E46D73" w:rsidP="009E2543">
            <w:pPr>
              <w:pStyle w:val="ListParagraph"/>
              <w:numPr>
                <w:ilvl w:val="0"/>
                <w:numId w:val="13"/>
              </w:numPr>
            </w:pPr>
            <w:r>
              <w:t xml:space="preserve">To inform any treating dentist that they are on denosumab; there may need to be discussion with secondary care around optimal timing if </w:t>
            </w:r>
            <w:r w:rsidR="00E555A2">
              <w:t>dental surgery needed whilst on denosumab treatment</w:t>
            </w:r>
            <w:r w:rsidR="009E2543">
              <w:t>.</w:t>
            </w:r>
          </w:p>
          <w:p w14:paraId="36ECF590" w14:textId="364E0334" w:rsidR="00207EB4" w:rsidRDefault="00207EB4" w:rsidP="009E2543">
            <w:pPr>
              <w:pStyle w:val="ListParagraph"/>
              <w:numPr>
                <w:ilvl w:val="0"/>
                <w:numId w:val="13"/>
              </w:numPr>
            </w:pPr>
            <w:r w:rsidRPr="00210168">
              <w:t xml:space="preserve">Inform the clinician/nurse </w:t>
            </w:r>
            <w:r>
              <w:t>of any side effects (rash, symptoms of hypocalcaemia as above)</w:t>
            </w:r>
            <w:r w:rsidR="009E2543">
              <w:t>.</w:t>
            </w:r>
          </w:p>
          <w:p w14:paraId="3B9575AC" w14:textId="31F9BFE5" w:rsidR="00207EB4" w:rsidRDefault="00207EB4" w:rsidP="009E2543">
            <w:pPr>
              <w:pStyle w:val="ListParagraph"/>
              <w:numPr>
                <w:ilvl w:val="0"/>
                <w:numId w:val="13"/>
              </w:numPr>
            </w:pPr>
            <w:r w:rsidRPr="00210168">
              <w:t xml:space="preserve">Attend for a blood test </w:t>
            </w:r>
            <w:r w:rsidR="00BA0DFC">
              <w:t xml:space="preserve">four </w:t>
            </w:r>
            <w:r w:rsidRPr="00210168">
              <w:t>weeks prior to each</w:t>
            </w:r>
            <w:r w:rsidRPr="009E2543">
              <w:rPr>
                <w:spacing w:val="-9"/>
              </w:rPr>
              <w:t xml:space="preserve"> </w:t>
            </w:r>
            <w:r w:rsidRPr="00210168">
              <w:t>injection.</w:t>
            </w:r>
          </w:p>
          <w:p w14:paraId="6FD01196" w14:textId="77777777" w:rsidR="00207EB4" w:rsidRDefault="00207EB4" w:rsidP="009E2543">
            <w:pPr>
              <w:pStyle w:val="ListParagraph"/>
              <w:numPr>
                <w:ilvl w:val="0"/>
                <w:numId w:val="13"/>
              </w:numPr>
            </w:pPr>
            <w:r w:rsidRPr="00210168">
              <w:t xml:space="preserve">Attend for each injection on the date requested. </w:t>
            </w:r>
          </w:p>
          <w:p w14:paraId="402C6F0C" w14:textId="54CAE451" w:rsidR="00207EB4" w:rsidRPr="00210168" w:rsidRDefault="00207EB4" w:rsidP="00FB404F">
            <w:pPr>
              <w:pStyle w:val="ListParagraph"/>
              <w:numPr>
                <w:ilvl w:val="0"/>
                <w:numId w:val="13"/>
              </w:numPr>
            </w:pPr>
            <w:r w:rsidRPr="00210168">
              <w:t>Do NOT stop treatment unless advised to stop by a</w:t>
            </w:r>
            <w:r w:rsidRPr="009E2543">
              <w:rPr>
                <w:spacing w:val="-9"/>
              </w:rPr>
              <w:t xml:space="preserve"> </w:t>
            </w:r>
            <w:r w:rsidRPr="00210168">
              <w:t>clinician.</w:t>
            </w:r>
          </w:p>
        </w:tc>
      </w:tr>
      <w:tr w:rsidR="00C72861" w:rsidRPr="00F321FC" w14:paraId="68FCED24" w14:textId="77777777" w:rsidTr="00F42E9B">
        <w:tc>
          <w:tcPr>
            <w:tcW w:w="2261" w:type="dxa"/>
          </w:tcPr>
          <w:p w14:paraId="3DF33630" w14:textId="5ED77BFD" w:rsidR="00C72861" w:rsidRPr="00F321FC" w:rsidRDefault="00AE0E89" w:rsidP="00AE0E89">
            <w:pPr>
              <w:pStyle w:val="Heading2"/>
              <w:rPr>
                <w:rFonts w:cs="Arial"/>
              </w:rPr>
            </w:pPr>
            <w:bookmarkStart w:id="10" w:name="five_initial_monitoring"/>
            <w:bookmarkStart w:id="11" w:name="_Toc149231789"/>
            <w:bookmarkStart w:id="12" w:name="_Hlk192153322"/>
            <w:r w:rsidRPr="00F321FC">
              <w:rPr>
                <w:rFonts w:cs="Arial"/>
              </w:rPr>
              <w:lastRenderedPageBreak/>
              <w:t xml:space="preserve">Baseline investigations, initial </w:t>
            </w:r>
            <w:r w:rsidR="00005FC7" w:rsidRPr="00F321FC">
              <w:rPr>
                <w:rFonts w:cs="Arial"/>
              </w:rPr>
              <w:t>monitoring,</w:t>
            </w:r>
            <w:r w:rsidRPr="00F321FC">
              <w:rPr>
                <w:rFonts w:cs="Arial"/>
              </w:rPr>
              <w:t xml:space="preserve"> and </w:t>
            </w:r>
            <w:r w:rsidR="00FB404F">
              <w:rPr>
                <w:rFonts w:cs="Arial"/>
              </w:rPr>
              <w:t xml:space="preserve">ongoing monitoring </w:t>
            </w:r>
            <w:bookmarkEnd w:id="10"/>
            <w:bookmarkEnd w:id="11"/>
          </w:p>
        </w:tc>
        <w:tc>
          <w:tcPr>
            <w:tcW w:w="8200" w:type="dxa"/>
          </w:tcPr>
          <w:p w14:paraId="63F9AF3D" w14:textId="77777777" w:rsidR="00B71208" w:rsidRDefault="00FB404F" w:rsidP="00003E35">
            <w:pPr>
              <w:rPr>
                <w:lang w:eastAsia="en-GB"/>
              </w:rPr>
            </w:pPr>
            <w:r w:rsidRPr="00FB404F">
              <w:rPr>
                <w:lang w:eastAsia="en-GB"/>
              </w:rPr>
              <w:t xml:space="preserve">Monitoring at baseline and during initiation is the responsibility of the </w:t>
            </w:r>
            <w:r w:rsidR="00210168">
              <w:rPr>
                <w:lang w:eastAsia="en-GB"/>
              </w:rPr>
              <w:t>initiating secondary care specialist</w:t>
            </w:r>
            <w:r w:rsidR="009E2543">
              <w:rPr>
                <w:lang w:eastAsia="en-GB"/>
              </w:rPr>
              <w:t>.</w:t>
            </w:r>
          </w:p>
          <w:p w14:paraId="1D2C30F7" w14:textId="77777777" w:rsidR="00B71208" w:rsidRDefault="00B71208" w:rsidP="00003E35">
            <w:pPr>
              <w:rPr>
                <w:lang w:eastAsia="en-GB"/>
              </w:rPr>
            </w:pPr>
          </w:p>
          <w:p w14:paraId="364CCCA1" w14:textId="7CC498F0" w:rsidR="00AA1494" w:rsidRDefault="00AA1494" w:rsidP="00003E35">
            <w:pPr>
              <w:rPr>
                <w:lang w:eastAsia="en-GB"/>
              </w:rPr>
            </w:pPr>
            <w:r>
              <w:rPr>
                <w:lang w:eastAsia="en-GB"/>
              </w:rPr>
              <w:t>Subsequent monitoring will be in primary care.</w:t>
            </w:r>
          </w:p>
          <w:p w14:paraId="67EEFA24" w14:textId="77777777" w:rsidR="00AA1494" w:rsidRPr="00FB404F" w:rsidRDefault="00AA1494" w:rsidP="00003E35">
            <w:pPr>
              <w:rPr>
                <w:lang w:eastAsia="en-GB"/>
              </w:rPr>
            </w:pPr>
          </w:p>
          <w:p w14:paraId="22D468AE" w14:textId="486C8506" w:rsidR="00210168" w:rsidRDefault="00BE5095" w:rsidP="009E2543">
            <w:pPr>
              <w:autoSpaceDE w:val="0"/>
              <w:autoSpaceDN w:val="0"/>
              <w:adjustRightInd w:val="0"/>
              <w:spacing w:after="0"/>
              <w:rPr>
                <w:rFonts w:eastAsia="Times New Roman" w:cs="Calibri"/>
                <w:b/>
                <w:bCs/>
                <w:i/>
                <w:color w:val="FF0000"/>
                <w:sz w:val="18"/>
                <w:szCs w:val="18"/>
                <w:u w:val="single"/>
              </w:rPr>
            </w:pPr>
            <w:r>
              <w:rPr>
                <w:b/>
                <w:bCs/>
                <w:u w:val="single"/>
              </w:rPr>
              <w:t>Baseline investigations</w:t>
            </w:r>
          </w:p>
          <w:p w14:paraId="3EDFD430" w14:textId="2D1324C4" w:rsidR="00210168" w:rsidRPr="00210168" w:rsidRDefault="00210168" w:rsidP="009E2543">
            <w:pPr>
              <w:pStyle w:val="ListParagraph"/>
              <w:widowControl w:val="0"/>
              <w:numPr>
                <w:ilvl w:val="0"/>
                <w:numId w:val="6"/>
              </w:numPr>
              <w:tabs>
                <w:tab w:val="left" w:pos="1119"/>
                <w:tab w:val="left" w:pos="1120"/>
              </w:tabs>
              <w:autoSpaceDE w:val="0"/>
              <w:autoSpaceDN w:val="0"/>
              <w:spacing w:before="120" w:after="120"/>
              <w:ind w:left="646" w:hanging="425"/>
            </w:pPr>
            <w:r w:rsidRPr="00210168">
              <w:t>Baseline blood</w:t>
            </w:r>
            <w:r w:rsidRPr="00210168">
              <w:rPr>
                <w:spacing w:val="-5"/>
              </w:rPr>
              <w:t xml:space="preserve"> </w:t>
            </w:r>
            <w:r w:rsidRPr="00210168">
              <w:t>tests (</w:t>
            </w:r>
            <w:r w:rsidR="00FE727F">
              <w:t>U&amp;E, liver function, calcium and phosphate</w:t>
            </w:r>
            <w:r w:rsidR="00297296">
              <w:t xml:space="preserve">, vitamin </w:t>
            </w:r>
            <w:r w:rsidRPr="00210168">
              <w:t>D)</w:t>
            </w:r>
            <w:r w:rsidR="008634F2">
              <w:t xml:space="preserve"> (</w:t>
            </w:r>
            <w:r w:rsidR="008634F2" w:rsidRPr="008634F2">
              <w:t>Other tests may be needed for baseline investigation of osteoporosis, but these are the relevant tests to ensure safety when using denosumab</w:t>
            </w:r>
            <w:r w:rsidR="008634F2">
              <w:t>).</w:t>
            </w:r>
          </w:p>
          <w:p w14:paraId="6208D95D" w14:textId="2E268E44" w:rsidR="0065253F" w:rsidRPr="00BE5095" w:rsidRDefault="00210168" w:rsidP="009E2543">
            <w:pPr>
              <w:pStyle w:val="ListParagraph"/>
              <w:widowControl w:val="0"/>
              <w:numPr>
                <w:ilvl w:val="0"/>
                <w:numId w:val="6"/>
              </w:numPr>
              <w:tabs>
                <w:tab w:val="left" w:pos="1121"/>
              </w:tabs>
              <w:autoSpaceDE w:val="0"/>
              <w:autoSpaceDN w:val="0"/>
              <w:spacing w:before="120" w:after="120"/>
              <w:ind w:left="646" w:hanging="425"/>
            </w:pPr>
            <w:r w:rsidRPr="00210168">
              <w:t>Confirm</w:t>
            </w:r>
            <w:r w:rsidRPr="00210168">
              <w:rPr>
                <w:spacing w:val="-8"/>
              </w:rPr>
              <w:t xml:space="preserve"> </w:t>
            </w:r>
            <w:r w:rsidRPr="00210168">
              <w:t>that</w:t>
            </w:r>
            <w:r w:rsidRPr="00210168">
              <w:rPr>
                <w:spacing w:val="-7"/>
              </w:rPr>
              <w:t xml:space="preserve"> </w:t>
            </w:r>
            <w:r w:rsidRPr="00210168">
              <w:t>the</w:t>
            </w:r>
            <w:r w:rsidRPr="00210168">
              <w:rPr>
                <w:spacing w:val="-6"/>
              </w:rPr>
              <w:t xml:space="preserve"> </w:t>
            </w:r>
            <w:r w:rsidRPr="00210168">
              <w:t>patient</w:t>
            </w:r>
            <w:r w:rsidRPr="00210168">
              <w:rPr>
                <w:spacing w:val="-5"/>
              </w:rPr>
              <w:t xml:space="preserve"> </w:t>
            </w:r>
            <w:r w:rsidRPr="00210168">
              <w:t>is</w:t>
            </w:r>
            <w:r w:rsidRPr="00210168">
              <w:rPr>
                <w:spacing w:val="-6"/>
              </w:rPr>
              <w:t xml:space="preserve"> </w:t>
            </w:r>
            <w:r w:rsidRPr="00210168">
              <w:t>vitamin</w:t>
            </w:r>
            <w:r w:rsidRPr="00210168">
              <w:rPr>
                <w:spacing w:val="-7"/>
              </w:rPr>
              <w:t xml:space="preserve"> </w:t>
            </w:r>
            <w:r w:rsidRPr="00210168">
              <w:t>D</w:t>
            </w:r>
            <w:r w:rsidRPr="00210168">
              <w:rPr>
                <w:spacing w:val="-7"/>
              </w:rPr>
              <w:t xml:space="preserve"> </w:t>
            </w:r>
            <w:r w:rsidRPr="00210168">
              <w:t>replete</w:t>
            </w:r>
            <w:r w:rsidRPr="00210168">
              <w:rPr>
                <w:spacing w:val="-8"/>
              </w:rPr>
              <w:t xml:space="preserve"> </w:t>
            </w:r>
            <w:r w:rsidRPr="00210168">
              <w:t>(serum</w:t>
            </w:r>
            <w:r w:rsidRPr="00210168">
              <w:rPr>
                <w:spacing w:val="-5"/>
              </w:rPr>
              <w:t xml:space="preserve"> </w:t>
            </w:r>
            <w:r w:rsidRPr="00210168">
              <w:t>25-OH-Vit</w:t>
            </w:r>
            <w:r w:rsidR="0065253F">
              <w:t>amin</w:t>
            </w:r>
            <w:r w:rsidRPr="00210168">
              <w:rPr>
                <w:spacing w:val="-5"/>
              </w:rPr>
              <w:t xml:space="preserve"> </w:t>
            </w:r>
            <w:r w:rsidRPr="00210168">
              <w:t>D</w:t>
            </w:r>
            <w:r w:rsidRPr="00210168">
              <w:rPr>
                <w:spacing w:val="-10"/>
              </w:rPr>
              <w:t xml:space="preserve"> </w:t>
            </w:r>
            <w:r w:rsidRPr="00210168">
              <w:t>&gt;50</w:t>
            </w:r>
            <w:r w:rsidRPr="00210168">
              <w:rPr>
                <w:spacing w:val="-7"/>
              </w:rPr>
              <w:t xml:space="preserve"> </w:t>
            </w:r>
            <w:r w:rsidRPr="00210168">
              <w:t>nmol/l).</w:t>
            </w:r>
            <w:r w:rsidRPr="00210168">
              <w:rPr>
                <w:spacing w:val="46"/>
              </w:rPr>
              <w:t xml:space="preserve"> </w:t>
            </w:r>
          </w:p>
          <w:p w14:paraId="4C40B4D0" w14:textId="24464AE9" w:rsidR="00BE5095" w:rsidRPr="0065253F" w:rsidRDefault="00BE5095" w:rsidP="009E2543">
            <w:pPr>
              <w:pStyle w:val="ListParagraph"/>
              <w:widowControl w:val="0"/>
              <w:numPr>
                <w:ilvl w:val="0"/>
                <w:numId w:val="6"/>
              </w:numPr>
              <w:tabs>
                <w:tab w:val="left" w:pos="1121"/>
              </w:tabs>
              <w:autoSpaceDE w:val="0"/>
              <w:autoSpaceDN w:val="0"/>
              <w:spacing w:before="120" w:after="120"/>
              <w:ind w:left="646" w:hanging="425"/>
            </w:pPr>
            <w:r>
              <w:t>If vitamin D is below normal, this will require correction prior to starting denosumab.</w:t>
            </w:r>
          </w:p>
          <w:p w14:paraId="706B6366" w14:textId="083FBB7A" w:rsidR="0041687B" w:rsidRDefault="0041687B" w:rsidP="009E2543">
            <w:pPr>
              <w:rPr>
                <w:b/>
                <w:bCs/>
                <w:u w:val="single"/>
              </w:rPr>
            </w:pPr>
          </w:p>
          <w:p w14:paraId="4D7E7279" w14:textId="2CEDF04D" w:rsidR="00E95F69" w:rsidRDefault="00E95F69" w:rsidP="009E2543">
            <w:pPr>
              <w:rPr>
                <w:b/>
                <w:bCs/>
                <w:u w:val="single"/>
              </w:rPr>
            </w:pPr>
            <w:r>
              <w:rPr>
                <w:b/>
                <w:bCs/>
                <w:u w:val="single"/>
              </w:rPr>
              <w:t xml:space="preserve">Ongoing </w:t>
            </w:r>
            <w:r w:rsidR="001A51F3" w:rsidRPr="00BF174A">
              <w:rPr>
                <w:b/>
                <w:bCs/>
                <w:u w:val="single"/>
              </w:rPr>
              <w:t xml:space="preserve">monitoring: </w:t>
            </w:r>
          </w:p>
          <w:p w14:paraId="69A354E3" w14:textId="6EB443FA" w:rsidR="00E95F69" w:rsidRDefault="00E95F69" w:rsidP="009E2543">
            <w:pPr>
              <w:pStyle w:val="ListParagraph"/>
              <w:widowControl w:val="0"/>
              <w:numPr>
                <w:ilvl w:val="0"/>
                <w:numId w:val="6"/>
              </w:numPr>
              <w:tabs>
                <w:tab w:val="left" w:pos="1117"/>
              </w:tabs>
              <w:autoSpaceDE w:val="0"/>
              <w:autoSpaceDN w:val="0"/>
              <w:spacing w:before="120" w:after="120"/>
              <w:ind w:left="646" w:hanging="425"/>
            </w:pPr>
            <w:r w:rsidRPr="00210168">
              <w:t>Check</w:t>
            </w:r>
            <w:r w:rsidRPr="00210168">
              <w:rPr>
                <w:spacing w:val="-16"/>
              </w:rPr>
              <w:t xml:space="preserve"> </w:t>
            </w:r>
            <w:r w:rsidRPr="00210168">
              <w:t>U&amp;Es</w:t>
            </w:r>
            <w:r w:rsidR="00BE5095">
              <w:t xml:space="preserve">, calcium and vitamin D </w:t>
            </w:r>
            <w:r w:rsidR="002C5BE2">
              <w:t xml:space="preserve">four </w:t>
            </w:r>
            <w:r w:rsidRPr="00210168">
              <w:t>weeks</w:t>
            </w:r>
            <w:r w:rsidRPr="00210168">
              <w:rPr>
                <w:spacing w:val="-16"/>
              </w:rPr>
              <w:t xml:space="preserve"> </w:t>
            </w:r>
            <w:r w:rsidRPr="00210168">
              <w:t>prior</w:t>
            </w:r>
            <w:r w:rsidRPr="00210168">
              <w:rPr>
                <w:spacing w:val="-16"/>
              </w:rPr>
              <w:t xml:space="preserve"> </w:t>
            </w:r>
            <w:r w:rsidRPr="00210168">
              <w:t>to</w:t>
            </w:r>
            <w:r w:rsidRPr="00210168">
              <w:rPr>
                <w:spacing w:val="-16"/>
              </w:rPr>
              <w:t xml:space="preserve"> </w:t>
            </w:r>
            <w:r w:rsidRPr="00210168">
              <w:t>each</w:t>
            </w:r>
            <w:r w:rsidRPr="00210168">
              <w:rPr>
                <w:spacing w:val="-17"/>
              </w:rPr>
              <w:t xml:space="preserve"> </w:t>
            </w:r>
            <w:r w:rsidRPr="00210168">
              <w:t>injection.</w:t>
            </w:r>
          </w:p>
          <w:p w14:paraId="7474B74F" w14:textId="63645DF4" w:rsidR="00BE5095" w:rsidRDefault="00BE5095" w:rsidP="009E2543">
            <w:pPr>
              <w:pStyle w:val="ListParagraph"/>
              <w:widowControl w:val="0"/>
              <w:numPr>
                <w:ilvl w:val="0"/>
                <w:numId w:val="6"/>
              </w:numPr>
              <w:tabs>
                <w:tab w:val="left" w:pos="1117"/>
              </w:tabs>
              <w:autoSpaceDE w:val="0"/>
              <w:autoSpaceDN w:val="0"/>
              <w:spacing w:before="120" w:after="120"/>
              <w:ind w:left="646" w:hanging="425"/>
            </w:pPr>
            <w:r>
              <w:t xml:space="preserve">If eGFR ≥ 30ml/min, </w:t>
            </w:r>
            <w:r w:rsidR="00587B31" w:rsidRPr="00587B31">
              <w:t>adjusted calcium within the normal range</w:t>
            </w:r>
            <w:r w:rsidR="00587B31">
              <w:t xml:space="preserve"> </w:t>
            </w:r>
            <w:r>
              <w:t xml:space="preserve">and </w:t>
            </w:r>
            <w:r w:rsidRPr="00210168">
              <w:t>serum</w:t>
            </w:r>
            <w:r w:rsidRPr="00210168">
              <w:rPr>
                <w:spacing w:val="-5"/>
              </w:rPr>
              <w:t xml:space="preserve"> </w:t>
            </w:r>
            <w:r w:rsidRPr="00210168">
              <w:t>25-OH-Vit</w:t>
            </w:r>
            <w:r>
              <w:t>amin</w:t>
            </w:r>
            <w:r w:rsidRPr="00210168">
              <w:rPr>
                <w:spacing w:val="-5"/>
              </w:rPr>
              <w:t xml:space="preserve"> </w:t>
            </w:r>
            <w:r w:rsidRPr="00210168">
              <w:t>D</w:t>
            </w:r>
            <w:r w:rsidRPr="00210168">
              <w:rPr>
                <w:spacing w:val="-10"/>
              </w:rPr>
              <w:t xml:space="preserve"> </w:t>
            </w:r>
            <w:r w:rsidRPr="00210168">
              <w:t>&gt;50</w:t>
            </w:r>
            <w:r w:rsidRPr="00210168">
              <w:rPr>
                <w:spacing w:val="-7"/>
              </w:rPr>
              <w:t xml:space="preserve"> </w:t>
            </w:r>
            <w:r w:rsidRPr="00210168">
              <w:t>nmol/l</w:t>
            </w:r>
            <w:r>
              <w:t xml:space="preserve"> then injection can proceed.</w:t>
            </w:r>
          </w:p>
          <w:p w14:paraId="484CC289" w14:textId="3A6E2666" w:rsidR="00BE5095" w:rsidRDefault="00BE5095" w:rsidP="009E2543">
            <w:pPr>
              <w:pStyle w:val="ListParagraph"/>
              <w:widowControl w:val="0"/>
              <w:numPr>
                <w:ilvl w:val="0"/>
                <w:numId w:val="6"/>
              </w:numPr>
              <w:tabs>
                <w:tab w:val="left" w:pos="1121"/>
              </w:tabs>
              <w:autoSpaceDE w:val="0"/>
              <w:autoSpaceDN w:val="0"/>
              <w:spacing w:before="120" w:after="120"/>
              <w:ind w:left="646" w:hanging="425"/>
            </w:pPr>
            <w:r>
              <w:t xml:space="preserve">If vitamin D is </w:t>
            </w:r>
            <w:r w:rsidR="00565697">
              <w:t>&lt;50 nmol/l</w:t>
            </w:r>
            <w:r>
              <w:t xml:space="preserve">, give </w:t>
            </w:r>
            <w:proofErr w:type="spellStart"/>
            <w:r>
              <w:t>colecaliferol</w:t>
            </w:r>
            <w:proofErr w:type="spellEnd"/>
            <w:r>
              <w:t xml:space="preserve"> </w:t>
            </w:r>
            <w:r w:rsidR="00081A11">
              <w:t>20,000iu daily for ten days</w:t>
            </w:r>
          </w:p>
          <w:p w14:paraId="43CFD1DE" w14:textId="2F0E82FF" w:rsidR="00BE5095" w:rsidRDefault="00BE5095" w:rsidP="009E2543">
            <w:pPr>
              <w:pStyle w:val="ListParagraph"/>
              <w:widowControl w:val="0"/>
              <w:numPr>
                <w:ilvl w:val="0"/>
                <w:numId w:val="6"/>
              </w:numPr>
              <w:tabs>
                <w:tab w:val="left" w:pos="1121"/>
              </w:tabs>
              <w:autoSpaceDE w:val="0"/>
              <w:autoSpaceDN w:val="0"/>
              <w:spacing w:before="120" w:after="120"/>
              <w:ind w:left="646" w:hanging="425"/>
            </w:pPr>
            <w:r>
              <w:t xml:space="preserve">One week </w:t>
            </w:r>
            <w:r w:rsidR="005D7AF2">
              <w:t>after finishing course of vitamin D</w:t>
            </w:r>
            <w:r>
              <w:t xml:space="preserve"> it is safe to proceed with denosumab</w:t>
            </w:r>
            <w:r w:rsidR="00B71208">
              <w:t>.</w:t>
            </w:r>
          </w:p>
          <w:p w14:paraId="16B31229" w14:textId="56683EC5" w:rsidR="00BE5095" w:rsidRDefault="00081A11" w:rsidP="009E2543">
            <w:pPr>
              <w:pStyle w:val="ListParagraph"/>
              <w:widowControl w:val="0"/>
              <w:numPr>
                <w:ilvl w:val="0"/>
                <w:numId w:val="6"/>
              </w:numPr>
              <w:tabs>
                <w:tab w:val="left" w:pos="1121"/>
              </w:tabs>
              <w:autoSpaceDE w:val="0"/>
              <w:autoSpaceDN w:val="0"/>
              <w:spacing w:before="120" w:after="120"/>
              <w:ind w:left="646" w:hanging="425"/>
            </w:pPr>
            <w:r>
              <w:t>T</w:t>
            </w:r>
            <w:r w:rsidR="00BE5095">
              <w:t xml:space="preserve">hen </w:t>
            </w:r>
            <w:r w:rsidR="00471907">
              <w:t>continue</w:t>
            </w:r>
            <w:r w:rsidR="00BE5095">
              <w:t xml:space="preserve"> maintenance vitamin D supplementation 800iu daily</w:t>
            </w:r>
            <w:r w:rsidR="00B71208">
              <w:t>.</w:t>
            </w:r>
          </w:p>
          <w:p w14:paraId="0EAAAA44" w14:textId="2152662A" w:rsidR="00BE5095" w:rsidRPr="00210168" w:rsidRDefault="00BE5095" w:rsidP="009E2543">
            <w:pPr>
              <w:pStyle w:val="ListParagraph"/>
              <w:widowControl w:val="0"/>
              <w:numPr>
                <w:ilvl w:val="0"/>
                <w:numId w:val="6"/>
              </w:numPr>
              <w:tabs>
                <w:tab w:val="left" w:pos="1117"/>
              </w:tabs>
              <w:autoSpaceDE w:val="0"/>
              <w:autoSpaceDN w:val="0"/>
              <w:spacing w:before="120" w:after="120"/>
              <w:ind w:left="646" w:hanging="425"/>
            </w:pPr>
            <w:r>
              <w:t>If concerns over patient compliance with vitamin D, retesting prior to dosing with Denosumab may be required</w:t>
            </w:r>
            <w:r w:rsidR="00C31D4E">
              <w:t xml:space="preserve">. </w:t>
            </w:r>
          </w:p>
          <w:p w14:paraId="3672B0FF" w14:textId="59172D47" w:rsidR="007A56FB" w:rsidRPr="00C95F55" w:rsidRDefault="002C5BE2" w:rsidP="001A51F3">
            <w:pPr>
              <w:pStyle w:val="TableParagraph"/>
              <w:numPr>
                <w:ilvl w:val="0"/>
                <w:numId w:val="6"/>
              </w:numPr>
              <w:spacing w:before="120" w:after="120"/>
              <w:ind w:left="646" w:hanging="425"/>
            </w:pPr>
            <w:r>
              <w:t>Patients at particular risk of hypocalcaemia (</w:t>
            </w:r>
            <w:r w:rsidR="00565697">
              <w:t xml:space="preserve">eGFR or </w:t>
            </w:r>
            <w:r>
              <w:t>creatinine clearance &lt;3</w:t>
            </w:r>
            <w:r w:rsidR="00BE5095">
              <w:t>0</w:t>
            </w:r>
            <w:r>
              <w:t xml:space="preserve">ml/min) will require repeat calcium level </w:t>
            </w:r>
            <w:r w:rsidR="00855D13">
              <w:t>within two</w:t>
            </w:r>
            <w:r>
              <w:t xml:space="preserve"> weeks after denosumab.</w:t>
            </w:r>
            <w:r w:rsidR="005D7AF2">
              <w:t xml:space="preserve"> These patients should be under the management of secondary care.</w:t>
            </w:r>
          </w:p>
        </w:tc>
      </w:tr>
      <w:bookmarkEnd w:id="12"/>
    </w:tbl>
    <w:p w14:paraId="7BD95E7B" w14:textId="77777777" w:rsidR="0051526F" w:rsidRDefault="0051526F"/>
    <w:p w14:paraId="39805D5C" w14:textId="77777777" w:rsidR="0051526F" w:rsidRDefault="0051526F" w:rsidP="0051526F">
      <w:pPr>
        <w:pStyle w:val="Heading2"/>
        <w:rPr>
          <w:rFonts w:cs="Arial"/>
        </w:rPr>
      </w:pPr>
      <w:bookmarkStart w:id="13" w:name="_Toc149231790"/>
      <w:bookmarkStart w:id="14" w:name="six_monitoring"/>
      <w:r w:rsidRPr="00F321FC">
        <w:rPr>
          <w:rFonts w:cs="Arial"/>
        </w:rPr>
        <w:t>Ongoing monitoring requirements to be undertaken by primary care</w:t>
      </w:r>
      <w:bookmarkEnd w:id="13"/>
    </w:p>
    <w:bookmarkEnd w:id="14"/>
    <w:p w14:paraId="390251ED" w14:textId="1BF22BCF" w:rsidR="0051526F" w:rsidRDefault="0051526F">
      <w:r w:rsidRPr="00EC0326">
        <w:rPr>
          <w:rFonts w:cs="Arial"/>
        </w:rPr>
        <w:t>If monitoring results are forwarded to the specialist team, please include clear clinical information on the reason for sending, to inform action to be taken by secondary care.</w:t>
      </w:r>
    </w:p>
    <w:tbl>
      <w:tblPr>
        <w:tblStyle w:val="TableGridLight1"/>
        <w:tblW w:w="10490" w:type="dxa"/>
        <w:tblInd w:w="-5" w:type="dxa"/>
        <w:tblCellMar>
          <w:top w:w="57" w:type="dxa"/>
          <w:bottom w:w="57" w:type="dxa"/>
        </w:tblCellMar>
        <w:tblLook w:val="0480" w:firstRow="0" w:lastRow="0" w:firstColumn="1" w:lastColumn="0" w:noHBand="0" w:noVBand="1"/>
      </w:tblPr>
      <w:tblGrid>
        <w:gridCol w:w="5245"/>
        <w:gridCol w:w="5245"/>
      </w:tblGrid>
      <w:tr w:rsidR="0051526F" w:rsidRPr="00F321FC" w14:paraId="3DB248E9" w14:textId="77777777" w:rsidTr="000B18BF">
        <w:trPr>
          <w:tblHeader/>
        </w:trPr>
        <w:tc>
          <w:tcPr>
            <w:tcW w:w="5245" w:type="dxa"/>
            <w:shd w:val="clear" w:color="auto" w:fill="F2F2F2" w:themeFill="background1" w:themeFillShade="F2"/>
          </w:tcPr>
          <w:p w14:paraId="1DAB6EDA" w14:textId="153D4D99" w:rsidR="0051526F" w:rsidRPr="00BF174A" w:rsidRDefault="0051526F" w:rsidP="00BF174A">
            <w:pPr>
              <w:rPr>
                <w:b/>
                <w:bCs/>
                <w:u w:val="single"/>
              </w:rPr>
            </w:pPr>
            <w:r w:rsidRPr="00BF174A">
              <w:rPr>
                <w:b/>
                <w:bCs/>
                <w:u w:val="single"/>
              </w:rPr>
              <w:t>Monitoring</w:t>
            </w:r>
          </w:p>
        </w:tc>
        <w:tc>
          <w:tcPr>
            <w:tcW w:w="5245" w:type="dxa"/>
            <w:shd w:val="clear" w:color="auto" w:fill="F2F2F2" w:themeFill="background1" w:themeFillShade="F2"/>
          </w:tcPr>
          <w:p w14:paraId="779C2E8A" w14:textId="1265EEED" w:rsidR="0051526F" w:rsidRPr="00BF174A" w:rsidRDefault="0051526F" w:rsidP="00BF174A">
            <w:pPr>
              <w:rPr>
                <w:b/>
                <w:bCs/>
                <w:u w:val="single"/>
              </w:rPr>
            </w:pPr>
            <w:r w:rsidRPr="00BF174A">
              <w:rPr>
                <w:b/>
                <w:bCs/>
                <w:u w:val="single"/>
              </w:rPr>
              <w:t>Frequency</w:t>
            </w:r>
          </w:p>
        </w:tc>
      </w:tr>
      <w:tr w:rsidR="0051526F" w:rsidRPr="00F321FC" w14:paraId="33418424" w14:textId="77777777" w:rsidTr="000B18BF">
        <w:tc>
          <w:tcPr>
            <w:tcW w:w="5245" w:type="dxa"/>
          </w:tcPr>
          <w:p w14:paraId="38C3A527" w14:textId="70DD591A" w:rsidR="0051526F" w:rsidRPr="00E95F69" w:rsidRDefault="00E95F69" w:rsidP="008E2B62">
            <w:pPr>
              <w:spacing w:before="0" w:after="0"/>
              <w:contextualSpacing/>
              <w:rPr>
                <w:rFonts w:cs="Arial"/>
                <w:b/>
                <w:bCs/>
              </w:rPr>
            </w:pPr>
            <w:r w:rsidRPr="00210168">
              <w:t>Check</w:t>
            </w:r>
            <w:r w:rsidRPr="00210168">
              <w:rPr>
                <w:spacing w:val="-16"/>
              </w:rPr>
              <w:t xml:space="preserve"> </w:t>
            </w:r>
            <w:r w:rsidR="00E555A2">
              <w:rPr>
                <w:spacing w:val="-16"/>
              </w:rPr>
              <w:t xml:space="preserve">U&amp;Es, </w:t>
            </w:r>
            <w:r w:rsidRPr="00210168">
              <w:t>calcium</w:t>
            </w:r>
            <w:r w:rsidRPr="00210168">
              <w:rPr>
                <w:spacing w:val="-15"/>
              </w:rPr>
              <w:t xml:space="preserve"> </w:t>
            </w:r>
            <w:r w:rsidRPr="00210168">
              <w:t>and</w:t>
            </w:r>
            <w:r w:rsidRPr="00210168">
              <w:rPr>
                <w:spacing w:val="-17"/>
              </w:rPr>
              <w:t xml:space="preserve"> </w:t>
            </w:r>
            <w:r w:rsidR="00E555A2">
              <w:t>vitamin D</w:t>
            </w:r>
          </w:p>
        </w:tc>
        <w:tc>
          <w:tcPr>
            <w:tcW w:w="5245" w:type="dxa"/>
          </w:tcPr>
          <w:p w14:paraId="460119A4" w14:textId="177D95B2" w:rsidR="0051526F" w:rsidRPr="00F321FC" w:rsidRDefault="00B71208" w:rsidP="001A51F3">
            <w:pPr>
              <w:rPr>
                <w:rFonts w:cs="Arial"/>
              </w:rPr>
            </w:pPr>
            <w:r>
              <w:t>W</w:t>
            </w:r>
            <w:r w:rsidR="00E95F69" w:rsidRPr="00210168">
              <w:t>ithin 4</w:t>
            </w:r>
            <w:r w:rsidR="00E95F69" w:rsidRPr="00210168">
              <w:rPr>
                <w:spacing w:val="-16"/>
              </w:rPr>
              <w:t xml:space="preserve"> </w:t>
            </w:r>
            <w:r w:rsidR="00E95F69" w:rsidRPr="00210168">
              <w:t>weeks</w:t>
            </w:r>
            <w:r w:rsidR="00E95F69" w:rsidRPr="00210168">
              <w:rPr>
                <w:spacing w:val="-16"/>
              </w:rPr>
              <w:t xml:space="preserve"> </w:t>
            </w:r>
            <w:r w:rsidR="00E95F69" w:rsidRPr="00210168">
              <w:t>prior</w:t>
            </w:r>
            <w:r w:rsidR="00E95F69" w:rsidRPr="00210168">
              <w:rPr>
                <w:spacing w:val="-16"/>
              </w:rPr>
              <w:t xml:space="preserve"> </w:t>
            </w:r>
            <w:r w:rsidR="00E95F69" w:rsidRPr="00210168">
              <w:t>to</w:t>
            </w:r>
            <w:r w:rsidR="00E95F69" w:rsidRPr="00210168">
              <w:rPr>
                <w:spacing w:val="-16"/>
              </w:rPr>
              <w:t xml:space="preserve"> </w:t>
            </w:r>
            <w:r w:rsidR="00E95F69" w:rsidRPr="00210168">
              <w:t>each</w:t>
            </w:r>
            <w:r w:rsidR="00E95F69" w:rsidRPr="00210168">
              <w:rPr>
                <w:spacing w:val="-17"/>
              </w:rPr>
              <w:t xml:space="preserve"> </w:t>
            </w:r>
            <w:r w:rsidR="00E95F69" w:rsidRPr="00210168">
              <w:t>injection</w:t>
            </w:r>
          </w:p>
        </w:tc>
      </w:tr>
      <w:tr w:rsidR="0051526F" w:rsidRPr="00F321FC" w14:paraId="50A88F0A" w14:textId="77777777" w:rsidTr="000B18BF">
        <w:tc>
          <w:tcPr>
            <w:tcW w:w="5245" w:type="dxa"/>
          </w:tcPr>
          <w:p w14:paraId="0C5A175F" w14:textId="63E0C3AB" w:rsidR="0051526F" w:rsidRDefault="002C5BE2" w:rsidP="001A51F3">
            <w:pPr>
              <w:rPr>
                <w:rFonts w:eastAsia="Times New Roman" w:cstheme="minorHAnsi"/>
                <w:color w:val="000000"/>
                <w:lang w:eastAsia="en-GB"/>
              </w:rPr>
            </w:pPr>
            <w:r>
              <w:rPr>
                <w:rFonts w:eastAsia="Times New Roman" w:cstheme="minorHAnsi"/>
                <w:color w:val="000000"/>
                <w:lang w:eastAsia="en-GB"/>
              </w:rPr>
              <w:t>Check calcium and U&amp;Es</w:t>
            </w:r>
          </w:p>
        </w:tc>
        <w:tc>
          <w:tcPr>
            <w:tcW w:w="5245" w:type="dxa"/>
          </w:tcPr>
          <w:p w14:paraId="773F40DE" w14:textId="177F61D4" w:rsidR="0051526F" w:rsidRDefault="00ED6E22" w:rsidP="001A51F3">
            <w:pPr>
              <w:rPr>
                <w:rFonts w:eastAsia="Times New Roman" w:cstheme="minorHAnsi"/>
                <w:iCs/>
                <w:color w:val="000000"/>
                <w:lang w:eastAsia="en-GB"/>
              </w:rPr>
            </w:pPr>
            <w:r>
              <w:rPr>
                <w:rFonts w:eastAsia="Times New Roman" w:cstheme="minorHAnsi"/>
                <w:iCs/>
                <w:color w:val="000000"/>
                <w:lang w:eastAsia="en-GB"/>
              </w:rPr>
              <w:t>Within two</w:t>
            </w:r>
            <w:r w:rsidR="002C5BE2">
              <w:rPr>
                <w:rFonts w:eastAsia="Times New Roman" w:cstheme="minorHAnsi"/>
                <w:iCs/>
                <w:color w:val="000000"/>
                <w:lang w:eastAsia="en-GB"/>
              </w:rPr>
              <w:t xml:space="preserve"> weeks after injection in patients at risk of hypocalcaemia (</w:t>
            </w:r>
            <w:r w:rsidR="00565697">
              <w:rPr>
                <w:rFonts w:eastAsia="Times New Roman" w:cstheme="minorHAnsi"/>
                <w:iCs/>
                <w:color w:val="000000"/>
                <w:lang w:eastAsia="en-GB"/>
              </w:rPr>
              <w:t xml:space="preserve">eGFR or </w:t>
            </w:r>
            <w:r w:rsidR="002C5BE2">
              <w:rPr>
                <w:rFonts w:eastAsia="Times New Roman" w:cstheme="minorHAnsi"/>
                <w:iCs/>
                <w:color w:val="000000"/>
                <w:lang w:eastAsia="en-GB"/>
              </w:rPr>
              <w:t>creatinine clearance &lt;3</w:t>
            </w:r>
            <w:r w:rsidR="00E555A2">
              <w:rPr>
                <w:rFonts w:eastAsia="Times New Roman" w:cstheme="minorHAnsi"/>
                <w:iCs/>
                <w:color w:val="000000"/>
                <w:lang w:eastAsia="en-GB"/>
              </w:rPr>
              <w:t>0</w:t>
            </w:r>
            <w:r w:rsidR="002C5BE2">
              <w:rPr>
                <w:rFonts w:eastAsia="Times New Roman" w:cstheme="minorHAnsi"/>
                <w:iCs/>
                <w:color w:val="000000"/>
                <w:lang w:eastAsia="en-GB"/>
              </w:rPr>
              <w:t>ml/min)</w:t>
            </w:r>
          </w:p>
        </w:tc>
      </w:tr>
    </w:tbl>
    <w:p w14:paraId="64DF32FD" w14:textId="77777777" w:rsidR="00E464CB" w:rsidRDefault="00E464CB" w:rsidP="00E464CB">
      <w:pPr>
        <w:pStyle w:val="Heading2"/>
        <w:numPr>
          <w:ilvl w:val="0"/>
          <w:numId w:val="0"/>
        </w:numPr>
        <w:ind w:left="357" w:hanging="357"/>
        <w:rPr>
          <w:rFonts w:cs="Arial"/>
        </w:rPr>
      </w:pPr>
      <w:bookmarkStart w:id="15" w:name="_Toc149231791"/>
    </w:p>
    <w:p w14:paraId="159592A3" w14:textId="77777777" w:rsidR="00E464CB" w:rsidRDefault="00E464CB" w:rsidP="00E464CB">
      <w:pPr>
        <w:pStyle w:val="Heading2"/>
        <w:numPr>
          <w:ilvl w:val="0"/>
          <w:numId w:val="0"/>
        </w:numPr>
        <w:ind w:left="357" w:hanging="357"/>
        <w:rPr>
          <w:rFonts w:cs="Arial"/>
        </w:rPr>
      </w:pPr>
    </w:p>
    <w:p w14:paraId="6D9CFDB8" w14:textId="77777777" w:rsidR="00E464CB" w:rsidRDefault="00E464CB" w:rsidP="00E464CB"/>
    <w:p w14:paraId="35FAA8F1" w14:textId="77777777" w:rsidR="00E464CB" w:rsidRDefault="00E464CB" w:rsidP="00E464CB"/>
    <w:p w14:paraId="1362ADD6" w14:textId="77777777" w:rsidR="00D0560B" w:rsidRPr="00E464CB" w:rsidRDefault="00D0560B" w:rsidP="00E464CB"/>
    <w:p w14:paraId="56152E6B" w14:textId="53A254A1" w:rsidR="0051526F" w:rsidRPr="00F321FC" w:rsidRDefault="0051526F" w:rsidP="0051526F">
      <w:pPr>
        <w:pStyle w:val="Heading2"/>
        <w:rPr>
          <w:rFonts w:cs="Arial"/>
        </w:rPr>
      </w:pPr>
      <w:r w:rsidRPr="00F321FC">
        <w:rPr>
          <w:rFonts w:cs="Arial"/>
        </w:rPr>
        <w:lastRenderedPageBreak/>
        <w:t>Pharmaceutical aspects</w:t>
      </w:r>
      <w:bookmarkEnd w:id="15"/>
    </w:p>
    <w:tbl>
      <w:tblPr>
        <w:tblStyle w:val="TableGridLight1"/>
        <w:tblW w:w="10490" w:type="dxa"/>
        <w:tblInd w:w="-5" w:type="dxa"/>
        <w:tblCellMar>
          <w:top w:w="57" w:type="dxa"/>
          <w:bottom w:w="57" w:type="dxa"/>
        </w:tblCellMar>
        <w:tblLook w:val="0480" w:firstRow="0" w:lastRow="0" w:firstColumn="1" w:lastColumn="0" w:noHBand="0" w:noVBand="1"/>
      </w:tblPr>
      <w:tblGrid>
        <w:gridCol w:w="2410"/>
        <w:gridCol w:w="8080"/>
      </w:tblGrid>
      <w:tr w:rsidR="0051526F" w:rsidRPr="00F321FC" w14:paraId="793C17AD" w14:textId="77777777" w:rsidTr="000B18BF">
        <w:trPr>
          <w:cantSplit/>
        </w:trPr>
        <w:tc>
          <w:tcPr>
            <w:tcW w:w="2410" w:type="dxa"/>
          </w:tcPr>
          <w:p w14:paraId="435FCFFB" w14:textId="2404CE1C" w:rsidR="0051526F" w:rsidRPr="00F321FC" w:rsidRDefault="0051526F" w:rsidP="001A51F3">
            <w:pPr>
              <w:rPr>
                <w:rFonts w:cs="Arial"/>
              </w:rPr>
            </w:pPr>
            <w:r w:rsidRPr="00F321FC">
              <w:rPr>
                <w:rFonts w:cs="Arial"/>
              </w:rPr>
              <w:t>Route of administration:</w:t>
            </w:r>
          </w:p>
        </w:tc>
        <w:tc>
          <w:tcPr>
            <w:tcW w:w="8080" w:type="dxa"/>
            <w:vAlign w:val="center"/>
          </w:tcPr>
          <w:p w14:paraId="58A97D63" w14:textId="2877F43D" w:rsidR="0051526F" w:rsidRPr="00F321FC" w:rsidRDefault="003B2C2F" w:rsidP="008E2B62">
            <w:pPr>
              <w:rPr>
                <w:rFonts w:cs="Arial"/>
              </w:rPr>
            </w:pPr>
            <w:r w:rsidRPr="00664023">
              <w:t xml:space="preserve">subcutaneous injection </w:t>
            </w:r>
          </w:p>
        </w:tc>
      </w:tr>
      <w:tr w:rsidR="0051526F" w:rsidRPr="00F321FC" w14:paraId="0E5DDFDD" w14:textId="77777777" w:rsidTr="000B18BF">
        <w:trPr>
          <w:cantSplit/>
        </w:trPr>
        <w:tc>
          <w:tcPr>
            <w:tcW w:w="2410" w:type="dxa"/>
          </w:tcPr>
          <w:p w14:paraId="3B641692" w14:textId="6763D472" w:rsidR="0051526F" w:rsidRPr="00F321FC" w:rsidRDefault="0051526F" w:rsidP="001A51F3">
            <w:pPr>
              <w:rPr>
                <w:rFonts w:cs="Arial"/>
              </w:rPr>
            </w:pPr>
            <w:r w:rsidRPr="00F321FC">
              <w:rPr>
                <w:rFonts w:cs="Arial"/>
              </w:rPr>
              <w:t>Formulation:</w:t>
            </w:r>
          </w:p>
        </w:tc>
        <w:tc>
          <w:tcPr>
            <w:tcW w:w="8080" w:type="dxa"/>
            <w:vAlign w:val="center"/>
          </w:tcPr>
          <w:p w14:paraId="09C2B9C8" w14:textId="68805CE3" w:rsidR="0051526F" w:rsidRPr="00F321FC" w:rsidRDefault="003B2C2F" w:rsidP="001A51F3">
            <w:pPr>
              <w:rPr>
                <w:rFonts w:cs="Arial"/>
              </w:rPr>
            </w:pPr>
            <w:r>
              <w:rPr>
                <w:rFonts w:cs="Arial"/>
              </w:rPr>
              <w:t>Single dose injection device</w:t>
            </w:r>
          </w:p>
        </w:tc>
      </w:tr>
      <w:tr w:rsidR="0051526F" w:rsidRPr="00F321FC" w14:paraId="4D08654E" w14:textId="77777777" w:rsidTr="000B18BF">
        <w:trPr>
          <w:cantSplit/>
        </w:trPr>
        <w:tc>
          <w:tcPr>
            <w:tcW w:w="2410" w:type="dxa"/>
          </w:tcPr>
          <w:p w14:paraId="5807ABCD" w14:textId="7BDA162B" w:rsidR="0051526F" w:rsidRPr="00F321FC" w:rsidRDefault="0051526F" w:rsidP="001A51F3">
            <w:pPr>
              <w:rPr>
                <w:rFonts w:cs="Arial"/>
              </w:rPr>
            </w:pPr>
            <w:r w:rsidRPr="00F321FC">
              <w:rPr>
                <w:rFonts w:cs="Arial"/>
              </w:rPr>
              <w:t>Administration details:</w:t>
            </w:r>
          </w:p>
        </w:tc>
        <w:tc>
          <w:tcPr>
            <w:tcW w:w="8080" w:type="dxa"/>
            <w:vAlign w:val="center"/>
          </w:tcPr>
          <w:p w14:paraId="3956ABC5" w14:textId="6FFFFF41" w:rsidR="0051526F" w:rsidRPr="00F321FC" w:rsidRDefault="00B71208" w:rsidP="001A51F3">
            <w:pPr>
              <w:rPr>
                <w:rFonts w:cs="Arial"/>
              </w:rPr>
            </w:pPr>
            <w:r>
              <w:t>O</w:t>
            </w:r>
            <w:r w:rsidR="003B2C2F" w:rsidRPr="00664023">
              <w:t>nce every 6 months into the thigh, abdomen or back of the arm. Administration should be performed by an individual adequately trained in injection</w:t>
            </w:r>
            <w:r w:rsidR="003B2C2F" w:rsidRPr="00664023">
              <w:rPr>
                <w:spacing w:val="-10"/>
              </w:rPr>
              <w:t xml:space="preserve"> </w:t>
            </w:r>
            <w:r w:rsidR="003B2C2F" w:rsidRPr="00664023">
              <w:t>techniques</w:t>
            </w:r>
            <w:r w:rsidR="003B2C2F">
              <w:t>, or the patient may be trained to self</w:t>
            </w:r>
            <w:r w:rsidR="003467F7">
              <w:t>-</w:t>
            </w:r>
            <w:r w:rsidR="003B2C2F">
              <w:t>inject.</w:t>
            </w:r>
          </w:p>
        </w:tc>
      </w:tr>
      <w:tr w:rsidR="0051526F" w:rsidRPr="00F321FC" w14:paraId="1BF5C41D" w14:textId="77777777" w:rsidTr="000B18BF">
        <w:trPr>
          <w:cantSplit/>
        </w:trPr>
        <w:tc>
          <w:tcPr>
            <w:tcW w:w="2410" w:type="dxa"/>
          </w:tcPr>
          <w:p w14:paraId="00D209C3" w14:textId="4AA020DB" w:rsidR="0051526F" w:rsidRPr="00F321FC" w:rsidRDefault="0051526F" w:rsidP="001A51F3">
            <w:pPr>
              <w:rPr>
                <w:rFonts w:cs="Arial"/>
              </w:rPr>
            </w:pPr>
            <w:r>
              <w:rPr>
                <w:rFonts w:cs="Arial"/>
              </w:rPr>
              <w:t xml:space="preserve">Other important information: </w:t>
            </w:r>
          </w:p>
        </w:tc>
        <w:tc>
          <w:tcPr>
            <w:tcW w:w="8080" w:type="dxa"/>
            <w:vAlign w:val="center"/>
          </w:tcPr>
          <w:p w14:paraId="14CD1D9D" w14:textId="23F11E06" w:rsidR="0051526F" w:rsidRPr="001A51F3" w:rsidRDefault="003B2C2F" w:rsidP="001A51F3">
            <w:pPr>
              <w:autoSpaceDE w:val="0"/>
              <w:autoSpaceDN w:val="0"/>
              <w:adjustRightInd w:val="0"/>
              <w:rPr>
                <w:rFonts w:eastAsia="Times New Roman" w:cstheme="minorHAnsi"/>
                <w:szCs w:val="24"/>
                <w:lang w:eastAsia="en-GB"/>
              </w:rPr>
            </w:pPr>
            <w:r w:rsidRPr="00664023">
              <w:t xml:space="preserve">It is important that patients receive their 6 monthly </w:t>
            </w:r>
            <w:proofErr w:type="gramStart"/>
            <w:r w:rsidRPr="00664023">
              <w:t>injection</w:t>
            </w:r>
            <w:proofErr w:type="gramEnd"/>
            <w:r w:rsidRPr="00664023">
              <w:t xml:space="preserve"> in a timely manner, preferably within 2 weeks </w:t>
            </w:r>
            <w:r>
              <w:t xml:space="preserve">either side </w:t>
            </w:r>
            <w:r w:rsidRPr="00664023">
              <w:t>of the due dat</w:t>
            </w:r>
            <w:r>
              <w:t>e, and n</w:t>
            </w:r>
            <w:r w:rsidRPr="00664023">
              <w:t xml:space="preserve">o later than 1 month after the due date. There is a potential for rebound bone loss if the injection is delayed </w:t>
            </w:r>
            <w:r>
              <w:t xml:space="preserve">longer </w:t>
            </w:r>
            <w:r w:rsidRPr="00664023">
              <w:t>than this</w:t>
            </w:r>
            <w:r>
              <w:t>.</w:t>
            </w:r>
          </w:p>
        </w:tc>
      </w:tr>
    </w:tbl>
    <w:p w14:paraId="55B80F32" w14:textId="77777777" w:rsidR="0051526F" w:rsidRDefault="0051526F"/>
    <w:p w14:paraId="2699777B" w14:textId="77777777" w:rsidR="0051526F" w:rsidRDefault="0051526F"/>
    <w:tbl>
      <w:tblPr>
        <w:tblStyle w:val="TableGridLight1"/>
        <w:tblW w:w="5000" w:type="pct"/>
        <w:tblCellMar>
          <w:top w:w="57" w:type="dxa"/>
          <w:bottom w:w="57" w:type="dxa"/>
        </w:tblCellMar>
        <w:tblLook w:val="0480" w:firstRow="0" w:lastRow="0" w:firstColumn="1" w:lastColumn="0" w:noHBand="0" w:noVBand="1"/>
      </w:tblPr>
      <w:tblGrid>
        <w:gridCol w:w="2407"/>
        <w:gridCol w:w="1792"/>
        <w:gridCol w:w="6257"/>
      </w:tblGrid>
      <w:tr w:rsidR="000C6AC8" w:rsidRPr="00F321FC" w14:paraId="4A999C67" w14:textId="77777777" w:rsidTr="000C6AC8">
        <w:tc>
          <w:tcPr>
            <w:tcW w:w="1151" w:type="pct"/>
            <w:vMerge w:val="restart"/>
          </w:tcPr>
          <w:p w14:paraId="1A4A4C0F" w14:textId="77777777" w:rsidR="000C6AC8" w:rsidRDefault="000C6AC8" w:rsidP="00E7566C">
            <w:pPr>
              <w:pStyle w:val="Heading2"/>
              <w:rPr>
                <w:rFonts w:cs="Arial"/>
              </w:rPr>
            </w:pPr>
            <w:bookmarkStart w:id="16" w:name="eight_cautions_cx"/>
            <w:bookmarkStart w:id="17" w:name="_Toc149231792"/>
            <w:r w:rsidRPr="00F321FC">
              <w:rPr>
                <w:rFonts w:cs="Arial"/>
              </w:rPr>
              <w:t>C</w:t>
            </w:r>
            <w:r>
              <w:rPr>
                <w:rFonts w:cs="Arial"/>
              </w:rPr>
              <w:t>autions and c</w:t>
            </w:r>
            <w:r w:rsidRPr="00F321FC">
              <w:rPr>
                <w:rFonts w:cs="Arial"/>
              </w:rPr>
              <w:t>ontraindications</w:t>
            </w:r>
            <w:bookmarkEnd w:id="16"/>
            <w:bookmarkEnd w:id="17"/>
          </w:p>
          <w:p w14:paraId="59FBF745" w14:textId="77777777" w:rsidR="000C6AC8" w:rsidRDefault="000C6AC8" w:rsidP="000C6AC8"/>
          <w:p w14:paraId="171970E4" w14:textId="79A2F325" w:rsidR="000C6AC8" w:rsidRDefault="000C6AC8" w:rsidP="000C6AC8">
            <w:pPr>
              <w:rPr>
                <w:rFonts w:cs="Arial"/>
              </w:rPr>
            </w:pPr>
            <w:r w:rsidRPr="00FB404F">
              <w:rPr>
                <w:rFonts w:cs="Arial"/>
              </w:rPr>
              <w:t xml:space="preserve">The following list is not exhaustive. Please see </w:t>
            </w:r>
            <w:r w:rsidRPr="007A56FB">
              <w:rPr>
                <w:rFonts w:cs="Arial"/>
              </w:rPr>
              <w:t>BNF</w:t>
            </w:r>
            <w:r w:rsidRPr="00FB404F">
              <w:rPr>
                <w:rFonts w:cs="Arial"/>
              </w:rPr>
              <w:t xml:space="preserve"> </w:t>
            </w:r>
            <w:r>
              <w:rPr>
                <w:rFonts w:cs="Arial"/>
              </w:rPr>
              <w:t>&amp;</w:t>
            </w:r>
            <w:r w:rsidRPr="007A56FB">
              <w:rPr>
                <w:rFonts w:cs="Arial"/>
              </w:rPr>
              <w:t>SPC</w:t>
            </w:r>
            <w:r w:rsidRPr="00FB404F">
              <w:rPr>
                <w:rFonts w:cs="Arial"/>
              </w:rPr>
              <w:t xml:space="preserve"> for comprehensive information and recommended management.</w:t>
            </w:r>
          </w:p>
          <w:p w14:paraId="6BB97933" w14:textId="5394937C" w:rsidR="000C6AC8" w:rsidRPr="000C6AC8" w:rsidRDefault="000C6AC8" w:rsidP="00B71208"/>
        </w:tc>
        <w:tc>
          <w:tcPr>
            <w:tcW w:w="857" w:type="pct"/>
            <w:vAlign w:val="center"/>
          </w:tcPr>
          <w:p w14:paraId="2F9271B1" w14:textId="24A25410" w:rsidR="000C6AC8" w:rsidRPr="00B71208" w:rsidRDefault="000C6AC8" w:rsidP="00B71208">
            <w:pPr>
              <w:rPr>
                <w:rFonts w:cs="Arial"/>
              </w:rPr>
            </w:pPr>
            <w:r w:rsidRPr="00B71208">
              <w:rPr>
                <w:rFonts w:cs="Arial"/>
              </w:rPr>
              <w:t>Hypersensitivity to the active substance or to any of its excipients, e.g. fructose</w:t>
            </w:r>
          </w:p>
        </w:tc>
        <w:tc>
          <w:tcPr>
            <w:tcW w:w="2992" w:type="pct"/>
            <w:vAlign w:val="center"/>
          </w:tcPr>
          <w:p w14:paraId="20205504" w14:textId="027FA6CF" w:rsidR="000C6AC8" w:rsidRPr="00B71208" w:rsidRDefault="000C6AC8" w:rsidP="00B71208">
            <w:pPr>
              <w:rPr>
                <w:rFonts w:cs="Arial"/>
              </w:rPr>
            </w:pPr>
            <w:r w:rsidRPr="00B71208">
              <w:rPr>
                <w:rFonts w:cs="Arial"/>
              </w:rPr>
              <w:t>Do not use.</w:t>
            </w:r>
          </w:p>
        </w:tc>
      </w:tr>
      <w:tr w:rsidR="000C6AC8" w:rsidRPr="00F321FC" w14:paraId="11E3D793" w14:textId="77777777" w:rsidTr="000C6AC8">
        <w:tc>
          <w:tcPr>
            <w:tcW w:w="1151" w:type="pct"/>
            <w:vMerge/>
          </w:tcPr>
          <w:p w14:paraId="1E8C8FBF" w14:textId="4CCB6E4E" w:rsidR="000C6AC8" w:rsidRPr="00F321FC" w:rsidRDefault="000C6AC8" w:rsidP="00E7566C">
            <w:pPr>
              <w:pStyle w:val="Heading2"/>
              <w:rPr>
                <w:rFonts w:cs="Arial"/>
              </w:rPr>
            </w:pPr>
          </w:p>
        </w:tc>
        <w:tc>
          <w:tcPr>
            <w:tcW w:w="857" w:type="pct"/>
            <w:vAlign w:val="center"/>
          </w:tcPr>
          <w:p w14:paraId="6D28A158" w14:textId="762F0121" w:rsidR="000C6AC8" w:rsidRPr="00B71208" w:rsidRDefault="000C6AC8" w:rsidP="00B71208">
            <w:pPr>
              <w:rPr>
                <w:rFonts w:cs="Arial"/>
              </w:rPr>
            </w:pPr>
            <w:r w:rsidRPr="00B71208">
              <w:rPr>
                <w:rFonts w:cs="Arial"/>
              </w:rPr>
              <w:t>Allergy to latex</w:t>
            </w:r>
          </w:p>
        </w:tc>
        <w:tc>
          <w:tcPr>
            <w:tcW w:w="2992" w:type="pct"/>
            <w:vAlign w:val="center"/>
          </w:tcPr>
          <w:p w14:paraId="4AC29C03" w14:textId="044B3619" w:rsidR="000C6AC8" w:rsidRPr="00B71208" w:rsidRDefault="000C6AC8" w:rsidP="00B71208">
            <w:pPr>
              <w:rPr>
                <w:rFonts w:cs="Arial"/>
              </w:rPr>
            </w:pPr>
            <w:r w:rsidRPr="00B71208">
              <w:rPr>
                <w:rFonts w:cs="Arial"/>
              </w:rPr>
              <w:t>Not recommended.</w:t>
            </w:r>
          </w:p>
        </w:tc>
      </w:tr>
      <w:tr w:rsidR="000C6AC8" w:rsidRPr="00F321FC" w14:paraId="15E81514" w14:textId="77777777" w:rsidTr="000C6AC8">
        <w:tc>
          <w:tcPr>
            <w:tcW w:w="1151" w:type="pct"/>
            <w:vMerge/>
          </w:tcPr>
          <w:p w14:paraId="253BD15D" w14:textId="77777777" w:rsidR="000C6AC8" w:rsidRPr="00F321FC" w:rsidRDefault="000C6AC8" w:rsidP="000C6AC8">
            <w:pPr>
              <w:rPr>
                <w:rFonts w:cs="Arial"/>
              </w:rPr>
            </w:pPr>
          </w:p>
        </w:tc>
        <w:tc>
          <w:tcPr>
            <w:tcW w:w="857" w:type="pct"/>
            <w:vAlign w:val="center"/>
          </w:tcPr>
          <w:p w14:paraId="02DB9F7A" w14:textId="037D4A9B" w:rsidR="000C6AC8" w:rsidRPr="00B71208" w:rsidRDefault="000C6AC8" w:rsidP="00B71208">
            <w:pPr>
              <w:rPr>
                <w:rFonts w:cs="Arial"/>
              </w:rPr>
            </w:pPr>
            <w:r w:rsidRPr="00B71208">
              <w:rPr>
                <w:rFonts w:cs="Arial"/>
              </w:rPr>
              <w:t>Hypocalcaemia</w:t>
            </w:r>
          </w:p>
        </w:tc>
        <w:tc>
          <w:tcPr>
            <w:tcW w:w="2992" w:type="pct"/>
            <w:vAlign w:val="center"/>
          </w:tcPr>
          <w:p w14:paraId="36243101" w14:textId="77777777" w:rsidR="00471907" w:rsidRDefault="000C6AC8" w:rsidP="00471907">
            <w:pPr>
              <w:pStyle w:val="TableParagraph"/>
              <w:ind w:left="108" w:right="325"/>
            </w:pPr>
            <w:r w:rsidRPr="00B71208">
              <w:t>Denosumab should not be used in patients with hypocalcaemia, regardless of severity.</w:t>
            </w:r>
            <w:r w:rsidRPr="00B71208">
              <w:rPr>
                <w:position w:val="8"/>
              </w:rPr>
              <w:t xml:space="preserve">6 </w:t>
            </w:r>
            <w:r w:rsidRPr="00B71208">
              <w:t xml:space="preserve">Calcium and 25(OH) vitamin D should be checked before starting the treatment. </w:t>
            </w:r>
            <w:r w:rsidRPr="00B71208">
              <w:rPr>
                <w:b/>
              </w:rPr>
              <w:t>Vitamin D deficiency and hypocalcaemia must be corrected by ensuring adequate intake of calcium and vitamin D before initiating therapy</w:t>
            </w:r>
            <w:r w:rsidRPr="00B71208">
              <w:t xml:space="preserve">. </w:t>
            </w:r>
          </w:p>
          <w:p w14:paraId="3E81B1C2" w14:textId="39B37F37" w:rsidR="000C6AC8" w:rsidRPr="00B71208" w:rsidRDefault="000C6AC8" w:rsidP="00471907">
            <w:pPr>
              <w:pStyle w:val="TableParagraph"/>
              <w:ind w:left="108" w:right="325"/>
            </w:pPr>
            <w:r w:rsidRPr="00B71208">
              <w:t>All patients should be advised to report symptoms of hypocalcaemia to their doctor (e.g. muscle spasms, twitches, cramps, numbness or tingling in the fingers, toes, or around the mouth).</w:t>
            </w:r>
          </w:p>
        </w:tc>
      </w:tr>
      <w:tr w:rsidR="000C6AC8" w:rsidRPr="00F321FC" w14:paraId="3D74CCE7" w14:textId="77777777" w:rsidTr="000C6AC8">
        <w:tc>
          <w:tcPr>
            <w:tcW w:w="1151" w:type="pct"/>
            <w:vMerge/>
          </w:tcPr>
          <w:p w14:paraId="5E381CBE" w14:textId="77777777" w:rsidR="000C6AC8" w:rsidRPr="00F321FC" w:rsidRDefault="000C6AC8" w:rsidP="00E7566C">
            <w:pPr>
              <w:pStyle w:val="Heading2"/>
              <w:rPr>
                <w:rFonts w:cs="Arial"/>
              </w:rPr>
            </w:pPr>
          </w:p>
        </w:tc>
        <w:tc>
          <w:tcPr>
            <w:tcW w:w="857" w:type="pct"/>
            <w:vAlign w:val="center"/>
          </w:tcPr>
          <w:p w14:paraId="29B37E7D" w14:textId="2EC3E4FB" w:rsidR="000C6AC8" w:rsidRPr="00B71208" w:rsidRDefault="000C6AC8" w:rsidP="00B71208">
            <w:pPr>
              <w:rPr>
                <w:rFonts w:cs="Arial"/>
              </w:rPr>
            </w:pPr>
            <w:r w:rsidRPr="00B71208">
              <w:rPr>
                <w:rFonts w:cs="Arial"/>
              </w:rPr>
              <w:t>Renal failure (</w:t>
            </w:r>
            <w:r w:rsidR="00565697">
              <w:rPr>
                <w:rFonts w:cs="Arial"/>
              </w:rPr>
              <w:t>eGFR</w:t>
            </w:r>
            <w:r w:rsidRPr="00B71208">
              <w:rPr>
                <w:rFonts w:cs="Arial"/>
              </w:rPr>
              <w:t xml:space="preserve"> &lt;30 ml/min)</w:t>
            </w:r>
          </w:p>
        </w:tc>
        <w:tc>
          <w:tcPr>
            <w:tcW w:w="2992" w:type="pct"/>
            <w:vAlign w:val="center"/>
          </w:tcPr>
          <w:p w14:paraId="36E96512" w14:textId="39E06086" w:rsidR="000C6AC8" w:rsidRPr="00B71208" w:rsidRDefault="000C6AC8" w:rsidP="00B71208">
            <w:pPr>
              <w:pStyle w:val="TableParagraph"/>
              <w:ind w:left="108" w:right="978"/>
            </w:pPr>
            <w:r w:rsidRPr="00B71208">
              <w:t xml:space="preserve">No dose adjustment required in patients with </w:t>
            </w:r>
            <w:r w:rsidR="00565697">
              <w:t xml:space="preserve">eGFR (or </w:t>
            </w:r>
            <w:proofErr w:type="spellStart"/>
            <w:r w:rsidRPr="00B71208">
              <w:t>CrCl</w:t>
            </w:r>
            <w:proofErr w:type="spellEnd"/>
            <w:r w:rsidR="00565697">
              <w:t>)</w:t>
            </w:r>
            <w:r w:rsidRPr="00B71208">
              <w:t xml:space="preserve"> </w:t>
            </w:r>
            <w:r w:rsidR="00E555A2" w:rsidRPr="00B71208">
              <w:t>≥</w:t>
            </w:r>
            <w:r w:rsidRPr="00B71208">
              <w:t>30 ml/min. Denosumab has no direct nephrotoxic effect.</w:t>
            </w:r>
          </w:p>
          <w:p w14:paraId="7B894B91" w14:textId="77777777" w:rsidR="000C6AC8" w:rsidRPr="00B71208" w:rsidRDefault="000C6AC8" w:rsidP="00B71208">
            <w:pPr>
              <w:ind w:left="108" w:right="325"/>
              <w:rPr>
                <w:rFonts w:cs="Arial"/>
              </w:rPr>
            </w:pPr>
          </w:p>
          <w:p w14:paraId="551F4848" w14:textId="6676B707" w:rsidR="000C6AC8" w:rsidRPr="00B71208" w:rsidRDefault="000C6AC8" w:rsidP="00B71208">
            <w:pPr>
              <w:ind w:left="108" w:right="325"/>
              <w:rPr>
                <w:rFonts w:cs="Arial"/>
              </w:rPr>
            </w:pPr>
            <w:r w:rsidRPr="00B71208">
              <w:rPr>
                <w:rFonts w:cs="Arial"/>
              </w:rPr>
              <w:t>Patients with severe renal impairment (</w:t>
            </w:r>
            <w:r w:rsidR="00565697">
              <w:rPr>
                <w:rFonts w:cs="Arial"/>
              </w:rPr>
              <w:t xml:space="preserve">eGFR or </w:t>
            </w:r>
            <w:proofErr w:type="spellStart"/>
            <w:r w:rsidRPr="00B71208">
              <w:rPr>
                <w:rFonts w:cs="Arial"/>
              </w:rPr>
              <w:t>CrCl</w:t>
            </w:r>
            <w:proofErr w:type="spellEnd"/>
            <w:r w:rsidRPr="00B71208">
              <w:rPr>
                <w:rFonts w:cs="Arial"/>
              </w:rPr>
              <w:t xml:space="preserve"> &lt;30 ml/min) or receiving dialysis are at greater risk of developing </w:t>
            </w:r>
            <w:r w:rsidRPr="00B71208">
              <w:rPr>
                <w:rFonts w:cs="Arial"/>
                <w:b/>
              </w:rPr>
              <w:t xml:space="preserve">hypocalcaemia </w:t>
            </w:r>
            <w:r w:rsidRPr="00B71208">
              <w:rPr>
                <w:rFonts w:cs="Arial"/>
              </w:rPr>
              <w:t xml:space="preserve">and in these patients clinical monitoring of calcium levels </w:t>
            </w:r>
            <w:r w:rsidR="00ED6E22">
              <w:rPr>
                <w:rFonts w:cs="Arial"/>
              </w:rPr>
              <w:t>within two</w:t>
            </w:r>
            <w:r w:rsidR="001E72DF">
              <w:rPr>
                <w:rFonts w:cs="Arial"/>
              </w:rPr>
              <w:t xml:space="preserve"> </w:t>
            </w:r>
            <w:r w:rsidRPr="00B71208">
              <w:rPr>
                <w:rFonts w:cs="Arial"/>
              </w:rPr>
              <w:t xml:space="preserve">weeks after injection is recommended. </w:t>
            </w:r>
          </w:p>
          <w:p w14:paraId="6608569A" w14:textId="108F12B2" w:rsidR="000C6AC8" w:rsidRPr="00B71208" w:rsidRDefault="000C6AC8" w:rsidP="00B71208">
            <w:pPr>
              <w:ind w:left="108" w:right="325"/>
              <w:rPr>
                <w:rFonts w:cs="Arial"/>
              </w:rPr>
            </w:pPr>
            <w:r w:rsidRPr="00B71208">
              <w:rPr>
                <w:rFonts w:cs="Arial"/>
                <w:b/>
                <w:bCs/>
              </w:rPr>
              <w:t xml:space="preserve">These patients should </w:t>
            </w:r>
            <w:r w:rsidR="00D06813">
              <w:rPr>
                <w:rFonts w:cs="Arial"/>
                <w:b/>
                <w:bCs/>
              </w:rPr>
              <w:t xml:space="preserve">remain under the care of a </w:t>
            </w:r>
            <w:r w:rsidRPr="00B71208">
              <w:rPr>
                <w:rFonts w:cs="Arial"/>
                <w:b/>
                <w:bCs/>
              </w:rPr>
              <w:t>specialist in secondary care</w:t>
            </w:r>
            <w:r w:rsidR="00D06813">
              <w:rPr>
                <w:rFonts w:cs="Arial"/>
                <w:b/>
                <w:bCs/>
              </w:rPr>
              <w:t xml:space="preserve"> and are not suitable for shared care</w:t>
            </w:r>
            <w:r w:rsidRPr="00B71208">
              <w:rPr>
                <w:rFonts w:cs="Arial"/>
                <w:b/>
                <w:bCs/>
              </w:rPr>
              <w:t>.</w:t>
            </w:r>
            <w:r w:rsidRPr="00B71208">
              <w:rPr>
                <w:rFonts w:cs="Arial"/>
              </w:rPr>
              <w:t xml:space="preserve">  There is very limited data on denosumab use in patients with </w:t>
            </w:r>
            <w:r w:rsidR="00565697">
              <w:rPr>
                <w:rFonts w:cs="Arial"/>
              </w:rPr>
              <w:t>eGFR (</w:t>
            </w:r>
            <w:proofErr w:type="spellStart"/>
            <w:r w:rsidRPr="00B71208">
              <w:rPr>
                <w:rFonts w:cs="Arial"/>
              </w:rPr>
              <w:t>CrCl</w:t>
            </w:r>
            <w:proofErr w:type="spellEnd"/>
            <w:r w:rsidR="00565697">
              <w:rPr>
                <w:rFonts w:cs="Arial"/>
              </w:rPr>
              <w:t>)</w:t>
            </w:r>
            <w:r w:rsidRPr="00B71208">
              <w:rPr>
                <w:rFonts w:cs="Arial"/>
              </w:rPr>
              <w:t xml:space="preserve"> &lt;15</w:t>
            </w:r>
            <w:r w:rsidRPr="00B71208">
              <w:rPr>
                <w:rFonts w:cs="Arial"/>
                <w:spacing w:val="-6"/>
              </w:rPr>
              <w:t xml:space="preserve"> </w:t>
            </w:r>
            <w:r w:rsidRPr="00B71208">
              <w:rPr>
                <w:rFonts w:cs="Arial"/>
              </w:rPr>
              <w:t>ml/min.</w:t>
            </w:r>
          </w:p>
        </w:tc>
      </w:tr>
      <w:tr w:rsidR="000C6AC8" w:rsidRPr="00F321FC" w14:paraId="035C6536" w14:textId="77777777" w:rsidTr="000C6AC8">
        <w:tc>
          <w:tcPr>
            <w:tcW w:w="1151" w:type="pct"/>
            <w:vMerge/>
          </w:tcPr>
          <w:p w14:paraId="1441C994" w14:textId="77777777" w:rsidR="000C6AC8" w:rsidRPr="00F321FC" w:rsidRDefault="000C6AC8" w:rsidP="00E7566C">
            <w:pPr>
              <w:pStyle w:val="Heading2"/>
              <w:rPr>
                <w:rFonts w:cs="Arial"/>
              </w:rPr>
            </w:pPr>
          </w:p>
        </w:tc>
        <w:tc>
          <w:tcPr>
            <w:tcW w:w="857" w:type="pct"/>
            <w:vAlign w:val="center"/>
          </w:tcPr>
          <w:p w14:paraId="3ADEFBD2" w14:textId="0AA38397" w:rsidR="000C6AC8" w:rsidRPr="00B71208" w:rsidRDefault="000C6AC8" w:rsidP="00B71208">
            <w:pPr>
              <w:rPr>
                <w:rFonts w:cs="Arial"/>
              </w:rPr>
            </w:pPr>
            <w:r w:rsidRPr="00B71208">
              <w:rPr>
                <w:rFonts w:cs="Arial"/>
              </w:rPr>
              <w:t>Liver impairment</w:t>
            </w:r>
          </w:p>
        </w:tc>
        <w:tc>
          <w:tcPr>
            <w:tcW w:w="2992" w:type="pct"/>
            <w:vAlign w:val="center"/>
          </w:tcPr>
          <w:p w14:paraId="176F84F4" w14:textId="3DFBE975" w:rsidR="000C6AC8" w:rsidRPr="00B71208" w:rsidRDefault="000C6AC8" w:rsidP="00B71208">
            <w:pPr>
              <w:ind w:left="108" w:right="978"/>
              <w:rPr>
                <w:rFonts w:cs="Arial"/>
              </w:rPr>
            </w:pPr>
            <w:r w:rsidRPr="00B71208">
              <w:rPr>
                <w:rFonts w:cs="Arial"/>
              </w:rPr>
              <w:t>No dose adjustment required.</w:t>
            </w:r>
          </w:p>
        </w:tc>
      </w:tr>
      <w:tr w:rsidR="000C6AC8" w:rsidRPr="00F321FC" w14:paraId="611E27C5" w14:textId="77777777" w:rsidTr="000C6AC8">
        <w:tc>
          <w:tcPr>
            <w:tcW w:w="1151" w:type="pct"/>
            <w:vMerge/>
          </w:tcPr>
          <w:p w14:paraId="373395FB" w14:textId="77777777" w:rsidR="000C6AC8" w:rsidRPr="00F321FC" w:rsidRDefault="000C6AC8" w:rsidP="00E7566C">
            <w:pPr>
              <w:pStyle w:val="Heading2"/>
              <w:rPr>
                <w:rFonts w:cs="Arial"/>
              </w:rPr>
            </w:pPr>
          </w:p>
        </w:tc>
        <w:tc>
          <w:tcPr>
            <w:tcW w:w="857" w:type="pct"/>
            <w:vAlign w:val="center"/>
          </w:tcPr>
          <w:p w14:paraId="510D9985" w14:textId="5CE8A8FA" w:rsidR="000C6AC8" w:rsidRPr="00B71208" w:rsidRDefault="000C6AC8" w:rsidP="00B71208">
            <w:pPr>
              <w:rPr>
                <w:rFonts w:cs="Arial"/>
              </w:rPr>
            </w:pPr>
            <w:r w:rsidRPr="00B71208">
              <w:rPr>
                <w:rFonts w:cs="Arial"/>
              </w:rPr>
              <w:t>Cellulitis</w:t>
            </w:r>
          </w:p>
        </w:tc>
        <w:tc>
          <w:tcPr>
            <w:tcW w:w="2992" w:type="pct"/>
            <w:vAlign w:val="center"/>
          </w:tcPr>
          <w:p w14:paraId="11C76D45" w14:textId="64A754B0" w:rsidR="000C6AC8" w:rsidRPr="00B71208" w:rsidRDefault="000C6AC8" w:rsidP="00B71208">
            <w:pPr>
              <w:ind w:left="108" w:right="978"/>
              <w:rPr>
                <w:rFonts w:cs="Arial"/>
              </w:rPr>
            </w:pPr>
            <w:r w:rsidRPr="00B71208">
              <w:rPr>
                <w:rFonts w:cs="Arial"/>
              </w:rPr>
              <w:t>Although uncommon, patients should be advised to seek prompt medical attention if they develop signs or symptoms of cellulitis. The risk of cellulitis and other infections does not increase with the duration of treatment.</w:t>
            </w:r>
          </w:p>
        </w:tc>
      </w:tr>
      <w:tr w:rsidR="000C6AC8" w:rsidRPr="00F321FC" w14:paraId="3A13C526" w14:textId="77777777" w:rsidTr="000C6AC8">
        <w:tc>
          <w:tcPr>
            <w:tcW w:w="1151" w:type="pct"/>
            <w:vMerge/>
          </w:tcPr>
          <w:p w14:paraId="238967B5" w14:textId="77777777" w:rsidR="000C6AC8" w:rsidRPr="00F321FC" w:rsidRDefault="000C6AC8" w:rsidP="00E7566C">
            <w:pPr>
              <w:pStyle w:val="Heading2"/>
              <w:rPr>
                <w:rFonts w:cs="Arial"/>
              </w:rPr>
            </w:pPr>
          </w:p>
        </w:tc>
        <w:tc>
          <w:tcPr>
            <w:tcW w:w="857" w:type="pct"/>
            <w:vAlign w:val="center"/>
          </w:tcPr>
          <w:p w14:paraId="695C53CF" w14:textId="237F2423" w:rsidR="000C6AC8" w:rsidRPr="00B71208" w:rsidRDefault="000C6AC8" w:rsidP="00B71208">
            <w:pPr>
              <w:rPr>
                <w:rFonts w:cs="Arial"/>
              </w:rPr>
            </w:pPr>
            <w:r w:rsidRPr="00B71208">
              <w:rPr>
                <w:rFonts w:cs="Arial"/>
              </w:rPr>
              <w:t>Prevention of jaw osteonecrosis</w:t>
            </w:r>
          </w:p>
        </w:tc>
        <w:tc>
          <w:tcPr>
            <w:tcW w:w="2992" w:type="pct"/>
            <w:vAlign w:val="center"/>
          </w:tcPr>
          <w:p w14:paraId="160809DD" w14:textId="5F9A2AAE" w:rsidR="000C6AC8" w:rsidRPr="00B71208" w:rsidRDefault="000C6AC8" w:rsidP="00B71208">
            <w:pPr>
              <w:ind w:left="108" w:right="978"/>
              <w:rPr>
                <w:rFonts w:cs="Arial"/>
              </w:rPr>
            </w:pPr>
            <w:r w:rsidRPr="00B71208">
              <w:rPr>
                <w:rFonts w:cs="Arial"/>
              </w:rPr>
              <w:t>Dental examination with appropriate preventative dentistry is recommended in patients with risk factors (corticosteroids, radiotherapy to head and neck, chemotherapy, pre-existing dental disease, periodontal infections). Treatment should not be delayed in patients who are at high risk of fragility fractures.  Patients should be advised to maintain good oral hygiene while on treatment and undergo regular dental checks.</w:t>
            </w:r>
          </w:p>
        </w:tc>
      </w:tr>
      <w:tr w:rsidR="000C6AC8" w:rsidRPr="00F321FC" w14:paraId="2163B11C" w14:textId="77777777" w:rsidTr="000C6AC8">
        <w:tc>
          <w:tcPr>
            <w:tcW w:w="1151" w:type="pct"/>
            <w:vMerge/>
          </w:tcPr>
          <w:p w14:paraId="5C59D3AC" w14:textId="77777777" w:rsidR="000C6AC8" w:rsidRPr="00F321FC" w:rsidRDefault="000C6AC8" w:rsidP="00E7566C">
            <w:pPr>
              <w:pStyle w:val="Heading2"/>
              <w:rPr>
                <w:rFonts w:cs="Arial"/>
              </w:rPr>
            </w:pPr>
          </w:p>
        </w:tc>
        <w:tc>
          <w:tcPr>
            <w:tcW w:w="857" w:type="pct"/>
            <w:vAlign w:val="center"/>
          </w:tcPr>
          <w:p w14:paraId="7D1A6823" w14:textId="088E4A07" w:rsidR="000C6AC8" w:rsidRPr="00B71208" w:rsidRDefault="000C6AC8" w:rsidP="00B71208">
            <w:pPr>
              <w:rPr>
                <w:rFonts w:cs="Arial"/>
              </w:rPr>
            </w:pPr>
            <w:r w:rsidRPr="00B71208">
              <w:rPr>
                <w:rFonts w:cs="Arial"/>
              </w:rPr>
              <w:t>Osteonecrosis of the external auditory canal</w:t>
            </w:r>
          </w:p>
        </w:tc>
        <w:tc>
          <w:tcPr>
            <w:tcW w:w="2992" w:type="pct"/>
            <w:vAlign w:val="center"/>
          </w:tcPr>
          <w:p w14:paraId="791A142D" w14:textId="55BAB3A0" w:rsidR="000C6AC8" w:rsidRPr="00B71208" w:rsidRDefault="000C6AC8" w:rsidP="00B71208">
            <w:pPr>
              <w:ind w:left="108" w:right="978"/>
              <w:rPr>
                <w:rFonts w:cs="Arial"/>
              </w:rPr>
            </w:pPr>
            <w:r w:rsidRPr="00B71208">
              <w:rPr>
                <w:rFonts w:cs="Arial"/>
              </w:rPr>
              <w:t>Patients should be advised to report persistent ear pain, discharge from the ear or ear infection during denosumab treatment.</w:t>
            </w:r>
          </w:p>
        </w:tc>
      </w:tr>
      <w:tr w:rsidR="000C6AC8" w:rsidRPr="00F321FC" w14:paraId="5C2E1CD6" w14:textId="77777777" w:rsidTr="000C6AC8">
        <w:tc>
          <w:tcPr>
            <w:tcW w:w="1151" w:type="pct"/>
            <w:vMerge/>
          </w:tcPr>
          <w:p w14:paraId="24650AA6" w14:textId="77777777" w:rsidR="000C6AC8" w:rsidRPr="00F321FC" w:rsidRDefault="000C6AC8" w:rsidP="00E7566C">
            <w:pPr>
              <w:pStyle w:val="Heading2"/>
              <w:rPr>
                <w:rFonts w:cs="Arial"/>
              </w:rPr>
            </w:pPr>
          </w:p>
        </w:tc>
        <w:tc>
          <w:tcPr>
            <w:tcW w:w="857" w:type="pct"/>
            <w:vAlign w:val="center"/>
          </w:tcPr>
          <w:p w14:paraId="53564F08" w14:textId="70153254" w:rsidR="000C6AC8" w:rsidRPr="00B71208" w:rsidRDefault="000C6AC8" w:rsidP="00B71208">
            <w:pPr>
              <w:rPr>
                <w:rFonts w:cs="Arial"/>
              </w:rPr>
            </w:pPr>
            <w:r w:rsidRPr="00B71208">
              <w:rPr>
                <w:rFonts w:cs="Arial"/>
              </w:rPr>
              <w:t>Pregnancy and lactation</w:t>
            </w:r>
          </w:p>
        </w:tc>
        <w:tc>
          <w:tcPr>
            <w:tcW w:w="2992" w:type="pct"/>
            <w:vAlign w:val="center"/>
          </w:tcPr>
          <w:p w14:paraId="3122BFBF" w14:textId="7838B2A1" w:rsidR="000C6AC8" w:rsidRPr="00B71208" w:rsidRDefault="000C6AC8" w:rsidP="00B71208">
            <w:pPr>
              <w:ind w:left="108" w:right="978"/>
              <w:rPr>
                <w:rFonts w:cs="Arial"/>
              </w:rPr>
            </w:pPr>
            <w:r w:rsidRPr="00B71208">
              <w:rPr>
                <w:rFonts w:cs="Arial"/>
              </w:rPr>
              <w:t>Not recommended.</w:t>
            </w:r>
          </w:p>
        </w:tc>
      </w:tr>
      <w:tr w:rsidR="000C6AC8" w:rsidRPr="00F321FC" w14:paraId="6EF4A11B" w14:textId="77777777" w:rsidTr="000C6AC8">
        <w:tc>
          <w:tcPr>
            <w:tcW w:w="1151" w:type="pct"/>
          </w:tcPr>
          <w:p w14:paraId="0293192F" w14:textId="335391EF" w:rsidR="000C6AC8" w:rsidRPr="00F321FC" w:rsidRDefault="000C6AC8" w:rsidP="00E7566C">
            <w:pPr>
              <w:pStyle w:val="Heading2"/>
              <w:rPr>
                <w:rFonts w:cs="Arial"/>
              </w:rPr>
            </w:pPr>
            <w:bookmarkStart w:id="18" w:name="nine_interactions"/>
            <w:bookmarkStart w:id="19" w:name="_Toc149231793"/>
            <w:r w:rsidRPr="00F321FC">
              <w:rPr>
                <w:rFonts w:cs="Arial"/>
              </w:rPr>
              <w:t>Significant drug interactions</w:t>
            </w:r>
            <w:bookmarkEnd w:id="18"/>
            <w:bookmarkEnd w:id="19"/>
          </w:p>
        </w:tc>
        <w:tc>
          <w:tcPr>
            <w:tcW w:w="857" w:type="pct"/>
            <w:vAlign w:val="center"/>
          </w:tcPr>
          <w:p w14:paraId="6039C41D" w14:textId="77777777" w:rsidR="000C6AC8" w:rsidRPr="009C6728" w:rsidRDefault="000C6AC8" w:rsidP="00E7566C">
            <w:pPr>
              <w:rPr>
                <w:sz w:val="21"/>
                <w:szCs w:val="21"/>
              </w:rPr>
            </w:pPr>
          </w:p>
        </w:tc>
        <w:tc>
          <w:tcPr>
            <w:tcW w:w="2992" w:type="pct"/>
            <w:vAlign w:val="center"/>
          </w:tcPr>
          <w:p w14:paraId="5A93E791" w14:textId="77777777" w:rsidR="00B6299D" w:rsidRPr="00B71208" w:rsidRDefault="00B6299D" w:rsidP="00B71208">
            <w:pPr>
              <w:pStyle w:val="BodyText"/>
              <w:spacing w:after="120"/>
              <w:ind w:left="85" w:right="663"/>
            </w:pPr>
            <w:r w:rsidRPr="00B71208">
              <w:t>No interaction studies have been performed. There is no clinical data on the co-administration of denosumab and hormone replacement therapy (oestrogen). However, the potential for a pharmacodynamic interaction is considered to be low.</w:t>
            </w:r>
          </w:p>
          <w:p w14:paraId="2325748A" w14:textId="6930DF79" w:rsidR="000C6AC8" w:rsidRPr="00C95F55" w:rsidRDefault="00B6299D" w:rsidP="00C95F55">
            <w:pPr>
              <w:pStyle w:val="BodyText"/>
              <w:ind w:left="85" w:right="663"/>
            </w:pPr>
            <w:r w:rsidRPr="00B71208">
              <w:t>In postmenopausal women with osteoporosis, the pharmacokinetics and pharmacodynamics of denosumab were not altered by previous alendronate therapy, based on data from a transition study (alendronate to denosumab).</w:t>
            </w:r>
          </w:p>
        </w:tc>
      </w:tr>
    </w:tbl>
    <w:p w14:paraId="56D8C659" w14:textId="77777777" w:rsidR="0051526F" w:rsidRDefault="0051526F"/>
    <w:p w14:paraId="5F2EB721" w14:textId="77777777" w:rsidR="0051526F" w:rsidRDefault="0051526F" w:rsidP="0051526F">
      <w:pPr>
        <w:pStyle w:val="Heading2"/>
        <w:rPr>
          <w:rFonts w:cs="Arial"/>
        </w:rPr>
      </w:pPr>
      <w:bookmarkStart w:id="20" w:name="_Toc149231794"/>
      <w:r w:rsidRPr="00F321FC">
        <w:rPr>
          <w:rFonts w:cs="Arial"/>
        </w:rPr>
        <w:t>Adverse effects and management</w:t>
      </w:r>
      <w:bookmarkEnd w:id="20"/>
    </w:p>
    <w:p w14:paraId="41070243" w14:textId="207A961A" w:rsidR="0051526F" w:rsidRDefault="0051526F" w:rsidP="0051526F">
      <w:pPr>
        <w:spacing w:after="120"/>
        <w:rPr>
          <w:rFonts w:cs="Arial"/>
          <w:b/>
          <w:bCs/>
        </w:rPr>
      </w:pPr>
      <w:r w:rsidRPr="00D32858">
        <w:rPr>
          <w:rFonts w:cs="Arial"/>
        </w:rPr>
        <w:t>As well as responding to absolute values in laboratory tests, a rapid change or a consistent trend in any value should prompt caution and extra vigilance</w:t>
      </w:r>
      <w:r>
        <w:rPr>
          <w:rFonts w:cs="Arial"/>
          <w:b/>
          <w:bCs/>
        </w:rPr>
        <w:t>.</w:t>
      </w:r>
    </w:p>
    <w:p w14:paraId="338E7A1F" w14:textId="53E2DB61" w:rsidR="0051526F" w:rsidRPr="0041687B" w:rsidRDefault="0051526F" w:rsidP="0051526F">
      <w:pPr>
        <w:spacing w:after="120"/>
        <w:rPr>
          <w:rStyle w:val="Hyperlink"/>
          <w:rFonts w:eastAsia="Calibri" w:cs="Arial"/>
          <w:noProof/>
          <w:lang w:eastAsia="en-GB"/>
        </w:rPr>
      </w:pPr>
      <w:r w:rsidRPr="0041687B">
        <w:rPr>
          <w:rFonts w:cs="Arial"/>
          <w:b/>
          <w:bCs/>
        </w:rPr>
        <w:t xml:space="preserve">Any serious adverse reactions should be reported to the MHRA via the Yellow Card scheme. Visit </w:t>
      </w:r>
      <w:hyperlink r:id="rId15" w:tooltip="http://www.mhra.gov.uk/yellowcard" w:history="1">
        <w:r w:rsidRPr="0041687B">
          <w:rPr>
            <w:rStyle w:val="Hyperlink"/>
            <w:rFonts w:eastAsia="Calibri" w:cs="Arial"/>
            <w:noProof/>
            <w:lang w:eastAsia="en-GB"/>
          </w:rPr>
          <w:t>www.mhra.gov.uk/yellowcard</w:t>
        </w:r>
      </w:hyperlink>
      <w:r w:rsidRPr="001B5F28">
        <w:rPr>
          <w:rStyle w:val="Hyperlink"/>
          <w:rFonts w:eastAsia="Calibri" w:cs="Arial"/>
          <w:noProof/>
          <w:color w:val="000000"/>
          <w:u w:val="none"/>
          <w:lang w:eastAsia="en-GB"/>
        </w:rPr>
        <w:t>.</w:t>
      </w:r>
    </w:p>
    <w:p w14:paraId="50ECDB93" w14:textId="769B6C3F" w:rsidR="0051526F" w:rsidRDefault="0051526F" w:rsidP="0051526F">
      <w:r w:rsidRPr="0041687B">
        <w:rPr>
          <w:rStyle w:val="Hyperlink"/>
          <w:rFonts w:eastAsia="Calibri" w:cs="Arial"/>
          <w:bCs/>
          <w:noProof/>
          <w:color w:val="000000"/>
          <w:u w:val="none"/>
          <w:lang w:eastAsia="en-GB"/>
        </w:rPr>
        <w:t xml:space="preserve">For information on incidence of ADRs see relevant </w:t>
      </w:r>
      <w:r w:rsidRPr="007A56FB">
        <w:rPr>
          <w:rStyle w:val="Hyperlink"/>
          <w:rFonts w:eastAsia="Calibri" w:cs="Arial"/>
          <w:bCs/>
          <w:noProof/>
          <w:color w:val="000000"/>
          <w:u w:val="none"/>
          <w:lang w:eastAsia="en-GB"/>
        </w:rPr>
        <w:t>S</w:t>
      </w:r>
      <w:r w:rsidRPr="007A56FB">
        <w:rPr>
          <w:rStyle w:val="Hyperlink"/>
          <w:rFonts w:eastAsia="Calibri"/>
          <w:bCs/>
          <w:noProof/>
          <w:color w:val="000000"/>
          <w:u w:val="none"/>
          <w:lang w:eastAsia="en-GB"/>
        </w:rPr>
        <w:t>PCs</w:t>
      </w:r>
      <w:r w:rsidRPr="00D13A1C">
        <w:rPr>
          <w:rStyle w:val="Hyperlink"/>
          <w:rFonts w:eastAsia="Calibri"/>
          <w:bCs/>
          <w:noProof/>
          <w:color w:val="000000"/>
          <w:u w:val="none"/>
          <w:lang w:eastAsia="en-GB"/>
        </w:rPr>
        <w:t>.</w:t>
      </w:r>
    </w:p>
    <w:tbl>
      <w:tblPr>
        <w:tblStyle w:val="TableGridLight1"/>
        <w:tblW w:w="10490" w:type="dxa"/>
        <w:tblInd w:w="-5" w:type="dxa"/>
        <w:tblCellMar>
          <w:top w:w="57" w:type="dxa"/>
          <w:bottom w:w="57" w:type="dxa"/>
        </w:tblCellMar>
        <w:tblLook w:val="0480" w:firstRow="0" w:lastRow="0" w:firstColumn="1" w:lastColumn="0" w:noHBand="0" w:noVBand="1"/>
      </w:tblPr>
      <w:tblGrid>
        <w:gridCol w:w="3544"/>
        <w:gridCol w:w="6946"/>
      </w:tblGrid>
      <w:tr w:rsidR="0051526F" w:rsidRPr="00F321FC" w14:paraId="7F454127" w14:textId="77777777" w:rsidTr="00213B09">
        <w:trPr>
          <w:cantSplit/>
          <w:tblHeader/>
        </w:trPr>
        <w:tc>
          <w:tcPr>
            <w:tcW w:w="3544" w:type="dxa"/>
            <w:shd w:val="clear" w:color="auto" w:fill="F2F2F2" w:themeFill="background1" w:themeFillShade="F2"/>
          </w:tcPr>
          <w:p w14:paraId="67AF18F0" w14:textId="01ED708F" w:rsidR="0051526F" w:rsidRPr="00BF174A" w:rsidRDefault="0051526F" w:rsidP="00BF174A">
            <w:pPr>
              <w:rPr>
                <w:b/>
                <w:bCs/>
                <w:u w:val="single"/>
              </w:rPr>
            </w:pPr>
            <w:r w:rsidRPr="00BF174A">
              <w:rPr>
                <w:b/>
                <w:bCs/>
                <w:u w:val="single"/>
              </w:rPr>
              <w:t>Adverse effect</w:t>
            </w:r>
          </w:p>
        </w:tc>
        <w:tc>
          <w:tcPr>
            <w:tcW w:w="6946" w:type="dxa"/>
            <w:shd w:val="clear" w:color="auto" w:fill="F2F2F2" w:themeFill="background1" w:themeFillShade="F2"/>
          </w:tcPr>
          <w:p w14:paraId="7FD73CD2" w14:textId="63413BED" w:rsidR="0051526F" w:rsidRPr="00BF174A" w:rsidRDefault="0051526F" w:rsidP="00BF174A">
            <w:pPr>
              <w:rPr>
                <w:b/>
                <w:bCs/>
                <w:u w:val="single"/>
              </w:rPr>
            </w:pPr>
            <w:r w:rsidRPr="00BF174A">
              <w:rPr>
                <w:b/>
                <w:bCs/>
                <w:u w:val="single"/>
              </w:rPr>
              <w:t>Management</w:t>
            </w:r>
          </w:p>
        </w:tc>
      </w:tr>
      <w:tr w:rsidR="00213B09" w:rsidRPr="00F321FC" w14:paraId="01268D2D" w14:textId="77777777" w:rsidTr="00213B09">
        <w:trPr>
          <w:cantSplit/>
          <w:trHeight w:val="48"/>
        </w:trPr>
        <w:tc>
          <w:tcPr>
            <w:tcW w:w="3544" w:type="dxa"/>
            <w:shd w:val="clear" w:color="auto" w:fill="F2F2F2" w:themeFill="background1" w:themeFillShade="F2"/>
            <w:vAlign w:val="center"/>
          </w:tcPr>
          <w:p w14:paraId="6A99262A" w14:textId="14F63C66" w:rsidR="00213B09" w:rsidRPr="00F321FC" w:rsidRDefault="00213B09" w:rsidP="00213B09">
            <w:pPr>
              <w:spacing w:before="0" w:after="0"/>
              <w:rPr>
                <w:rFonts w:cs="Arial"/>
              </w:rPr>
            </w:pPr>
            <w:r w:rsidRPr="00175FA4">
              <w:rPr>
                <w:b/>
                <w:sz w:val="21"/>
                <w:szCs w:val="21"/>
              </w:rPr>
              <w:t xml:space="preserve">Common </w:t>
            </w:r>
            <w:r w:rsidRPr="00175FA4">
              <w:rPr>
                <w:sz w:val="21"/>
                <w:szCs w:val="21"/>
              </w:rPr>
              <w:t>(1/100 to &lt;1/10):</w:t>
            </w:r>
          </w:p>
        </w:tc>
        <w:tc>
          <w:tcPr>
            <w:tcW w:w="6946" w:type="dxa"/>
            <w:shd w:val="clear" w:color="auto" w:fill="F2F2F2" w:themeFill="background1" w:themeFillShade="F2"/>
            <w:vAlign w:val="center"/>
          </w:tcPr>
          <w:p w14:paraId="45A5B53C" w14:textId="4577CDDA" w:rsidR="00213B09" w:rsidRPr="00F321FC" w:rsidRDefault="00213B09" w:rsidP="00213B09">
            <w:pPr>
              <w:rPr>
                <w:rFonts w:cs="Arial"/>
              </w:rPr>
            </w:pPr>
            <w:r w:rsidRPr="00175FA4">
              <w:rPr>
                <w:i/>
                <w:sz w:val="21"/>
                <w:szCs w:val="21"/>
              </w:rPr>
              <w:t>Action to be taken</w:t>
            </w:r>
          </w:p>
        </w:tc>
      </w:tr>
      <w:tr w:rsidR="00213B09" w:rsidRPr="00F321FC" w14:paraId="7CEAAB39" w14:textId="77777777" w:rsidTr="00213B09">
        <w:trPr>
          <w:cantSplit/>
          <w:trHeight w:val="48"/>
        </w:trPr>
        <w:tc>
          <w:tcPr>
            <w:tcW w:w="3544" w:type="dxa"/>
            <w:vAlign w:val="center"/>
          </w:tcPr>
          <w:p w14:paraId="2386555E" w14:textId="2020F1E6" w:rsidR="00213B09" w:rsidRPr="0051526F" w:rsidRDefault="00213B09" w:rsidP="00213B09">
            <w:pPr>
              <w:spacing w:line="360" w:lineRule="atLeast"/>
              <w:rPr>
                <w:rFonts w:eastAsia="Times New Roman" w:cstheme="minorHAnsi"/>
                <w:lang w:eastAsia="en-GB"/>
              </w:rPr>
            </w:pPr>
            <w:r w:rsidRPr="00175FA4">
              <w:rPr>
                <w:sz w:val="21"/>
                <w:szCs w:val="21"/>
              </w:rPr>
              <w:t>Dysuria, haematuria, frequency, urinary tract infection (UTI)</w:t>
            </w:r>
          </w:p>
        </w:tc>
        <w:tc>
          <w:tcPr>
            <w:tcW w:w="6946" w:type="dxa"/>
            <w:vAlign w:val="center"/>
          </w:tcPr>
          <w:p w14:paraId="645A7295" w14:textId="04AC13CE" w:rsidR="00213B09" w:rsidRPr="00F321FC" w:rsidRDefault="00213B09" w:rsidP="00213B09">
            <w:pPr>
              <w:rPr>
                <w:rFonts w:cs="Arial"/>
              </w:rPr>
            </w:pPr>
            <w:r w:rsidRPr="00175FA4">
              <w:rPr>
                <w:sz w:val="21"/>
                <w:szCs w:val="21"/>
              </w:rPr>
              <w:t xml:space="preserve">Treat UTI appropriately. If patient is due for the injection </w:t>
            </w:r>
            <w:r w:rsidR="002C5BE2">
              <w:rPr>
                <w:sz w:val="21"/>
                <w:szCs w:val="21"/>
              </w:rPr>
              <w:t>–</w:t>
            </w:r>
            <w:r w:rsidRPr="00175FA4">
              <w:rPr>
                <w:sz w:val="21"/>
                <w:szCs w:val="21"/>
              </w:rPr>
              <w:t xml:space="preserve"> defer</w:t>
            </w:r>
            <w:r w:rsidR="002C5BE2">
              <w:rPr>
                <w:sz w:val="21"/>
                <w:szCs w:val="21"/>
              </w:rPr>
              <w:t xml:space="preserve"> no longer than</w:t>
            </w:r>
            <w:r w:rsidRPr="00175FA4">
              <w:rPr>
                <w:sz w:val="21"/>
                <w:szCs w:val="21"/>
              </w:rPr>
              <w:t xml:space="preserve"> </w:t>
            </w:r>
            <w:r w:rsidR="002C5BE2">
              <w:rPr>
                <w:sz w:val="21"/>
                <w:szCs w:val="21"/>
              </w:rPr>
              <w:t xml:space="preserve">2 weeks whilst </w:t>
            </w:r>
            <w:r w:rsidRPr="00175FA4">
              <w:rPr>
                <w:sz w:val="21"/>
                <w:szCs w:val="21"/>
              </w:rPr>
              <w:t>treatment completed.</w:t>
            </w:r>
          </w:p>
        </w:tc>
      </w:tr>
      <w:tr w:rsidR="00213B09" w:rsidRPr="00F321FC" w14:paraId="3E83576D" w14:textId="77777777" w:rsidTr="00213B09">
        <w:trPr>
          <w:cantSplit/>
          <w:trHeight w:val="48"/>
        </w:trPr>
        <w:tc>
          <w:tcPr>
            <w:tcW w:w="3544" w:type="dxa"/>
            <w:vAlign w:val="center"/>
          </w:tcPr>
          <w:p w14:paraId="08C53FEC" w14:textId="5870A4A7" w:rsidR="00213B09" w:rsidRPr="00F321FC" w:rsidRDefault="00213B09" w:rsidP="00213B09">
            <w:pPr>
              <w:rPr>
                <w:rFonts w:cs="Arial"/>
              </w:rPr>
            </w:pPr>
            <w:r w:rsidRPr="00175FA4">
              <w:rPr>
                <w:sz w:val="21"/>
                <w:szCs w:val="21"/>
              </w:rPr>
              <w:t>Upper respiratory tract infection</w:t>
            </w:r>
          </w:p>
        </w:tc>
        <w:tc>
          <w:tcPr>
            <w:tcW w:w="6946" w:type="dxa"/>
            <w:vAlign w:val="center"/>
          </w:tcPr>
          <w:p w14:paraId="0AF04492" w14:textId="1F34D95B" w:rsidR="00213B09" w:rsidRPr="00F321FC" w:rsidRDefault="00213B09" w:rsidP="00213B09">
            <w:pPr>
              <w:rPr>
                <w:rFonts w:cs="Arial"/>
              </w:rPr>
            </w:pPr>
            <w:r w:rsidRPr="00175FA4">
              <w:rPr>
                <w:sz w:val="21"/>
                <w:szCs w:val="21"/>
              </w:rPr>
              <w:t xml:space="preserve">Treat appropriately. If patient is due for the injection </w:t>
            </w:r>
            <w:r w:rsidR="002C5BE2">
              <w:rPr>
                <w:sz w:val="21"/>
                <w:szCs w:val="21"/>
              </w:rPr>
              <w:t>–</w:t>
            </w:r>
            <w:r w:rsidR="002C5BE2" w:rsidRPr="00175FA4">
              <w:rPr>
                <w:sz w:val="21"/>
                <w:szCs w:val="21"/>
              </w:rPr>
              <w:t xml:space="preserve"> defer</w:t>
            </w:r>
            <w:r w:rsidR="002C5BE2">
              <w:rPr>
                <w:sz w:val="21"/>
                <w:szCs w:val="21"/>
              </w:rPr>
              <w:t xml:space="preserve"> no longer than</w:t>
            </w:r>
            <w:r w:rsidR="002C5BE2" w:rsidRPr="00175FA4">
              <w:rPr>
                <w:sz w:val="21"/>
                <w:szCs w:val="21"/>
              </w:rPr>
              <w:t xml:space="preserve"> </w:t>
            </w:r>
            <w:r w:rsidR="002C5BE2">
              <w:rPr>
                <w:sz w:val="21"/>
                <w:szCs w:val="21"/>
              </w:rPr>
              <w:t xml:space="preserve">2 weeks whilst </w:t>
            </w:r>
            <w:r w:rsidR="002C5BE2" w:rsidRPr="00175FA4">
              <w:rPr>
                <w:sz w:val="21"/>
                <w:szCs w:val="21"/>
              </w:rPr>
              <w:t>treatment completed.</w:t>
            </w:r>
          </w:p>
        </w:tc>
      </w:tr>
      <w:tr w:rsidR="00213B09" w:rsidRPr="00F321FC" w14:paraId="24831E88" w14:textId="77777777" w:rsidTr="00213B09">
        <w:trPr>
          <w:cantSplit/>
          <w:trHeight w:val="48"/>
        </w:trPr>
        <w:tc>
          <w:tcPr>
            <w:tcW w:w="3544" w:type="dxa"/>
            <w:vAlign w:val="center"/>
          </w:tcPr>
          <w:p w14:paraId="1928A53C" w14:textId="78DD6891" w:rsidR="00213B09" w:rsidRPr="00F321FC" w:rsidRDefault="00213B09" w:rsidP="00213B09">
            <w:pPr>
              <w:rPr>
                <w:rFonts w:cs="Arial"/>
              </w:rPr>
            </w:pPr>
            <w:r w:rsidRPr="00175FA4">
              <w:rPr>
                <w:sz w:val="21"/>
                <w:szCs w:val="21"/>
              </w:rPr>
              <w:t>Sciatica</w:t>
            </w:r>
          </w:p>
        </w:tc>
        <w:tc>
          <w:tcPr>
            <w:tcW w:w="6946" w:type="dxa"/>
            <w:vAlign w:val="center"/>
          </w:tcPr>
          <w:p w14:paraId="3EAA40C2" w14:textId="61016DF9" w:rsidR="00213B09" w:rsidRPr="00F321FC" w:rsidRDefault="00213B09" w:rsidP="00213B09">
            <w:pPr>
              <w:rPr>
                <w:rFonts w:cs="Arial"/>
              </w:rPr>
            </w:pPr>
            <w:r w:rsidRPr="00175FA4">
              <w:rPr>
                <w:sz w:val="21"/>
                <w:szCs w:val="21"/>
              </w:rPr>
              <w:t>Treat symptomatically.</w:t>
            </w:r>
          </w:p>
        </w:tc>
      </w:tr>
      <w:tr w:rsidR="008828B4" w:rsidRPr="00F321FC" w14:paraId="7B45BBDF" w14:textId="77777777" w:rsidTr="00213B09">
        <w:trPr>
          <w:cantSplit/>
          <w:trHeight w:val="48"/>
        </w:trPr>
        <w:tc>
          <w:tcPr>
            <w:tcW w:w="3544" w:type="dxa"/>
            <w:vAlign w:val="center"/>
          </w:tcPr>
          <w:p w14:paraId="742A5874" w14:textId="5F999D63" w:rsidR="008828B4" w:rsidRPr="00F321FC" w:rsidRDefault="008828B4" w:rsidP="00213B09">
            <w:pPr>
              <w:rPr>
                <w:rFonts w:cs="Arial"/>
              </w:rPr>
            </w:pPr>
            <w:r w:rsidRPr="00175FA4">
              <w:rPr>
                <w:sz w:val="21"/>
                <w:szCs w:val="21"/>
              </w:rPr>
              <w:lastRenderedPageBreak/>
              <w:t>Constipation</w:t>
            </w:r>
          </w:p>
        </w:tc>
        <w:tc>
          <w:tcPr>
            <w:tcW w:w="6946" w:type="dxa"/>
            <w:vAlign w:val="center"/>
          </w:tcPr>
          <w:p w14:paraId="3B5D0997" w14:textId="2F629E59" w:rsidR="008828B4" w:rsidRPr="00F321FC" w:rsidRDefault="008828B4" w:rsidP="00213B09">
            <w:pPr>
              <w:rPr>
                <w:rFonts w:cs="Arial"/>
              </w:rPr>
            </w:pPr>
            <w:r w:rsidRPr="00175FA4">
              <w:rPr>
                <w:sz w:val="21"/>
                <w:szCs w:val="21"/>
              </w:rPr>
              <w:t>Treat appropriately. Continue treatment.</w:t>
            </w:r>
          </w:p>
        </w:tc>
      </w:tr>
      <w:tr w:rsidR="008828B4" w:rsidRPr="00F321FC" w14:paraId="6BD1EF9B" w14:textId="77777777" w:rsidTr="00213B09">
        <w:trPr>
          <w:cantSplit/>
          <w:trHeight w:val="48"/>
        </w:trPr>
        <w:tc>
          <w:tcPr>
            <w:tcW w:w="3544" w:type="dxa"/>
            <w:vAlign w:val="center"/>
          </w:tcPr>
          <w:p w14:paraId="5E311FBE" w14:textId="3B9CE9BA" w:rsidR="008828B4" w:rsidRPr="00F321FC" w:rsidRDefault="008828B4" w:rsidP="00213B09">
            <w:pPr>
              <w:rPr>
                <w:rFonts w:cs="Arial"/>
              </w:rPr>
            </w:pPr>
            <w:r w:rsidRPr="00175FA4">
              <w:rPr>
                <w:sz w:val="21"/>
                <w:szCs w:val="21"/>
              </w:rPr>
              <w:t>Rash</w:t>
            </w:r>
          </w:p>
        </w:tc>
        <w:tc>
          <w:tcPr>
            <w:tcW w:w="6946" w:type="dxa"/>
            <w:vAlign w:val="center"/>
          </w:tcPr>
          <w:p w14:paraId="25E56149" w14:textId="7FEC46F4" w:rsidR="008828B4" w:rsidRPr="00F321FC" w:rsidRDefault="008828B4" w:rsidP="00213B09">
            <w:pPr>
              <w:rPr>
                <w:rFonts w:cs="Arial"/>
              </w:rPr>
            </w:pPr>
            <w:r w:rsidRPr="00175FA4">
              <w:rPr>
                <w:sz w:val="21"/>
                <w:szCs w:val="21"/>
              </w:rPr>
              <w:t>In case of a new rash following denosumab injection, discuss with the specialist before the next dose is given.</w:t>
            </w:r>
          </w:p>
        </w:tc>
      </w:tr>
      <w:tr w:rsidR="008828B4" w:rsidRPr="00F321FC" w14:paraId="525ED011" w14:textId="77777777" w:rsidTr="00213B09">
        <w:trPr>
          <w:cantSplit/>
          <w:trHeight w:val="48"/>
        </w:trPr>
        <w:tc>
          <w:tcPr>
            <w:tcW w:w="3544" w:type="dxa"/>
            <w:vAlign w:val="center"/>
          </w:tcPr>
          <w:p w14:paraId="056AACBC" w14:textId="7118BDB7" w:rsidR="008828B4" w:rsidRPr="00F321FC" w:rsidRDefault="008828B4" w:rsidP="00213B09">
            <w:pPr>
              <w:rPr>
                <w:rFonts w:cs="Arial"/>
              </w:rPr>
            </w:pPr>
            <w:r w:rsidRPr="00175FA4">
              <w:rPr>
                <w:sz w:val="21"/>
                <w:szCs w:val="21"/>
              </w:rPr>
              <w:t>Pain in extremity</w:t>
            </w:r>
          </w:p>
        </w:tc>
        <w:tc>
          <w:tcPr>
            <w:tcW w:w="6946" w:type="dxa"/>
            <w:vAlign w:val="center"/>
          </w:tcPr>
          <w:p w14:paraId="086133F4" w14:textId="77777777" w:rsidR="008828B4" w:rsidRDefault="008828B4" w:rsidP="00213B09">
            <w:pPr>
              <w:rPr>
                <w:sz w:val="21"/>
                <w:szCs w:val="21"/>
              </w:rPr>
            </w:pPr>
            <w:r w:rsidRPr="00175FA4">
              <w:rPr>
                <w:sz w:val="21"/>
                <w:szCs w:val="21"/>
              </w:rPr>
              <w:t>Treat symptomatically.</w:t>
            </w:r>
          </w:p>
          <w:p w14:paraId="499E20D8" w14:textId="5D32FEAE" w:rsidR="008828B4" w:rsidRPr="00F321FC" w:rsidRDefault="008828B4" w:rsidP="00213B09">
            <w:pPr>
              <w:rPr>
                <w:rFonts w:cs="Arial"/>
              </w:rPr>
            </w:pPr>
          </w:p>
        </w:tc>
      </w:tr>
      <w:tr w:rsidR="00D21244" w:rsidRPr="00F321FC" w14:paraId="531A287E" w14:textId="77777777" w:rsidTr="00213B09">
        <w:trPr>
          <w:cantSplit/>
          <w:trHeight w:val="48"/>
        </w:trPr>
        <w:tc>
          <w:tcPr>
            <w:tcW w:w="3544" w:type="dxa"/>
            <w:vAlign w:val="center"/>
          </w:tcPr>
          <w:p w14:paraId="08761291" w14:textId="00DB069F" w:rsidR="00D21244" w:rsidRPr="00175FA4" w:rsidRDefault="00D21244" w:rsidP="00D21244">
            <w:pPr>
              <w:rPr>
                <w:sz w:val="21"/>
                <w:szCs w:val="21"/>
              </w:rPr>
            </w:pPr>
            <w:r w:rsidRPr="00175FA4">
              <w:rPr>
                <w:sz w:val="21"/>
                <w:szCs w:val="21"/>
              </w:rPr>
              <w:t>Eczema</w:t>
            </w:r>
          </w:p>
        </w:tc>
        <w:tc>
          <w:tcPr>
            <w:tcW w:w="6946" w:type="dxa"/>
            <w:vAlign w:val="center"/>
          </w:tcPr>
          <w:p w14:paraId="34B306D7" w14:textId="6D99C006" w:rsidR="00D21244" w:rsidRPr="00175FA4" w:rsidRDefault="00D21244" w:rsidP="00D21244">
            <w:pPr>
              <w:rPr>
                <w:sz w:val="21"/>
                <w:szCs w:val="21"/>
              </w:rPr>
            </w:pPr>
            <w:r w:rsidRPr="00175FA4">
              <w:rPr>
                <w:sz w:val="21"/>
                <w:szCs w:val="21"/>
              </w:rPr>
              <w:t xml:space="preserve">Consider benefits versus risks. If eczema is </w:t>
            </w:r>
            <w:proofErr w:type="gramStart"/>
            <w:r w:rsidRPr="00175FA4">
              <w:rPr>
                <w:sz w:val="21"/>
                <w:szCs w:val="21"/>
              </w:rPr>
              <w:t>mild</w:t>
            </w:r>
            <w:proofErr w:type="gramEnd"/>
            <w:r w:rsidRPr="00175FA4">
              <w:rPr>
                <w:sz w:val="21"/>
                <w:szCs w:val="21"/>
              </w:rPr>
              <w:t xml:space="preserve"> it is reasonable to continue to treat with denosumab, if more severe </w:t>
            </w:r>
            <w:proofErr w:type="gramStart"/>
            <w:r w:rsidRPr="00175FA4">
              <w:rPr>
                <w:sz w:val="21"/>
                <w:szCs w:val="21"/>
              </w:rPr>
              <w:t>then</w:t>
            </w:r>
            <w:proofErr w:type="gramEnd"/>
            <w:r w:rsidRPr="00175FA4">
              <w:rPr>
                <w:sz w:val="21"/>
                <w:szCs w:val="21"/>
              </w:rPr>
              <w:t xml:space="preserve"> seek specialist advice.</w:t>
            </w:r>
          </w:p>
        </w:tc>
      </w:tr>
      <w:tr w:rsidR="008828B4" w:rsidRPr="00F321FC" w14:paraId="1D57B6D7" w14:textId="77777777" w:rsidTr="00CE1EB8">
        <w:trPr>
          <w:cantSplit/>
          <w:trHeight w:val="48"/>
        </w:trPr>
        <w:tc>
          <w:tcPr>
            <w:tcW w:w="3544" w:type="dxa"/>
            <w:shd w:val="clear" w:color="auto" w:fill="D9D9D9" w:themeFill="background1" w:themeFillShade="D9"/>
            <w:vAlign w:val="center"/>
          </w:tcPr>
          <w:p w14:paraId="0749D0BF" w14:textId="2FD631C5" w:rsidR="008828B4" w:rsidRPr="00F321FC" w:rsidRDefault="008828B4" w:rsidP="00213B09">
            <w:pPr>
              <w:rPr>
                <w:rFonts w:cs="Arial"/>
              </w:rPr>
            </w:pPr>
            <w:r w:rsidRPr="00175FA4">
              <w:rPr>
                <w:b/>
                <w:sz w:val="21"/>
                <w:szCs w:val="21"/>
              </w:rPr>
              <w:t xml:space="preserve">Uncommon </w:t>
            </w:r>
            <w:r w:rsidRPr="00175FA4">
              <w:rPr>
                <w:sz w:val="21"/>
                <w:szCs w:val="21"/>
              </w:rPr>
              <w:t>(1/1,000 to &lt;1/100):</w:t>
            </w:r>
          </w:p>
        </w:tc>
        <w:tc>
          <w:tcPr>
            <w:tcW w:w="6946" w:type="dxa"/>
            <w:shd w:val="clear" w:color="auto" w:fill="D9D9D9" w:themeFill="background1" w:themeFillShade="D9"/>
          </w:tcPr>
          <w:p w14:paraId="13AE35EE" w14:textId="6F0A31A5" w:rsidR="008828B4" w:rsidRPr="00F321FC" w:rsidRDefault="008828B4" w:rsidP="00213B09">
            <w:pPr>
              <w:rPr>
                <w:rFonts w:cs="Arial"/>
              </w:rPr>
            </w:pPr>
          </w:p>
        </w:tc>
      </w:tr>
      <w:tr w:rsidR="008828B4" w:rsidRPr="00F321FC" w14:paraId="38F6C6F9" w14:textId="77777777" w:rsidTr="00CE1EB8">
        <w:trPr>
          <w:cantSplit/>
          <w:trHeight w:val="48"/>
        </w:trPr>
        <w:tc>
          <w:tcPr>
            <w:tcW w:w="3544" w:type="dxa"/>
            <w:vAlign w:val="center"/>
          </w:tcPr>
          <w:p w14:paraId="254FB770" w14:textId="02E34FBE" w:rsidR="008828B4" w:rsidRPr="00F321FC" w:rsidRDefault="008828B4" w:rsidP="00213B09">
            <w:pPr>
              <w:rPr>
                <w:rFonts w:cs="Arial"/>
              </w:rPr>
            </w:pPr>
            <w:r w:rsidRPr="00175FA4">
              <w:rPr>
                <w:sz w:val="21"/>
                <w:szCs w:val="21"/>
              </w:rPr>
              <w:t>Cellulitis</w:t>
            </w:r>
          </w:p>
        </w:tc>
        <w:tc>
          <w:tcPr>
            <w:tcW w:w="6946" w:type="dxa"/>
            <w:vAlign w:val="center"/>
          </w:tcPr>
          <w:p w14:paraId="3EC57A6F" w14:textId="4AF05B7F" w:rsidR="008828B4" w:rsidRPr="00F321FC" w:rsidRDefault="008828B4" w:rsidP="00213B09">
            <w:pPr>
              <w:rPr>
                <w:rFonts w:cs="Arial"/>
              </w:rPr>
            </w:pPr>
            <w:r w:rsidRPr="00175FA4">
              <w:rPr>
                <w:sz w:val="21"/>
                <w:szCs w:val="21"/>
              </w:rPr>
              <w:t>Treat appropriately - defer</w:t>
            </w:r>
            <w:r>
              <w:rPr>
                <w:sz w:val="21"/>
                <w:szCs w:val="21"/>
              </w:rPr>
              <w:t xml:space="preserve"> no longer than</w:t>
            </w:r>
            <w:r w:rsidRPr="00175FA4">
              <w:rPr>
                <w:sz w:val="21"/>
                <w:szCs w:val="21"/>
              </w:rPr>
              <w:t xml:space="preserve"> </w:t>
            </w:r>
            <w:r>
              <w:rPr>
                <w:sz w:val="21"/>
                <w:szCs w:val="21"/>
              </w:rPr>
              <w:t xml:space="preserve">2 weeks whilst </w:t>
            </w:r>
            <w:r w:rsidRPr="00175FA4">
              <w:rPr>
                <w:sz w:val="21"/>
                <w:szCs w:val="21"/>
              </w:rPr>
              <w:t>treatment completed.</w:t>
            </w:r>
          </w:p>
        </w:tc>
      </w:tr>
      <w:tr w:rsidR="008828B4" w:rsidRPr="00F321FC" w14:paraId="6C0FFF07" w14:textId="77777777" w:rsidTr="00213B09">
        <w:trPr>
          <w:cantSplit/>
          <w:trHeight w:val="48"/>
        </w:trPr>
        <w:tc>
          <w:tcPr>
            <w:tcW w:w="3544" w:type="dxa"/>
            <w:vAlign w:val="center"/>
          </w:tcPr>
          <w:p w14:paraId="3A14071F" w14:textId="28E6928E" w:rsidR="008828B4" w:rsidRPr="00F321FC" w:rsidRDefault="008828B4" w:rsidP="00213B09">
            <w:pPr>
              <w:rPr>
                <w:rFonts w:cs="Arial"/>
              </w:rPr>
            </w:pPr>
            <w:r w:rsidRPr="00175FA4">
              <w:rPr>
                <w:sz w:val="21"/>
                <w:szCs w:val="21"/>
              </w:rPr>
              <w:t>Diverticulitis</w:t>
            </w:r>
          </w:p>
        </w:tc>
        <w:tc>
          <w:tcPr>
            <w:tcW w:w="6946" w:type="dxa"/>
            <w:vAlign w:val="center"/>
          </w:tcPr>
          <w:p w14:paraId="0EBFB85A" w14:textId="01F2FB2C" w:rsidR="008828B4" w:rsidRPr="00F321FC" w:rsidRDefault="008828B4" w:rsidP="00213B09">
            <w:pPr>
              <w:rPr>
                <w:rFonts w:cs="Arial"/>
              </w:rPr>
            </w:pPr>
            <w:r w:rsidRPr="00175FA4">
              <w:rPr>
                <w:sz w:val="21"/>
                <w:szCs w:val="21"/>
              </w:rPr>
              <w:t>Treat appropriately. If patient is due for the injection - defer</w:t>
            </w:r>
            <w:r>
              <w:rPr>
                <w:sz w:val="21"/>
                <w:szCs w:val="21"/>
              </w:rPr>
              <w:t xml:space="preserve"> no longer than</w:t>
            </w:r>
            <w:r w:rsidRPr="00175FA4">
              <w:rPr>
                <w:sz w:val="21"/>
                <w:szCs w:val="21"/>
              </w:rPr>
              <w:t xml:space="preserve"> </w:t>
            </w:r>
            <w:r>
              <w:rPr>
                <w:sz w:val="21"/>
                <w:szCs w:val="21"/>
              </w:rPr>
              <w:t xml:space="preserve">2 weeks whilst </w:t>
            </w:r>
            <w:r w:rsidRPr="00175FA4">
              <w:rPr>
                <w:sz w:val="21"/>
                <w:szCs w:val="21"/>
              </w:rPr>
              <w:t>treatment completed.</w:t>
            </w:r>
          </w:p>
        </w:tc>
      </w:tr>
      <w:tr w:rsidR="008828B4" w:rsidRPr="00F321FC" w14:paraId="32C58BB9" w14:textId="77777777" w:rsidTr="00213B09">
        <w:trPr>
          <w:cantSplit/>
          <w:trHeight w:val="48"/>
        </w:trPr>
        <w:tc>
          <w:tcPr>
            <w:tcW w:w="3544" w:type="dxa"/>
            <w:vAlign w:val="center"/>
          </w:tcPr>
          <w:p w14:paraId="4B6DB15E" w14:textId="536F7151" w:rsidR="008828B4" w:rsidRPr="00F321FC" w:rsidRDefault="008828B4" w:rsidP="00213B09">
            <w:pPr>
              <w:rPr>
                <w:rFonts w:cs="Arial"/>
              </w:rPr>
            </w:pPr>
            <w:r w:rsidRPr="00175FA4">
              <w:rPr>
                <w:sz w:val="21"/>
                <w:szCs w:val="21"/>
              </w:rPr>
              <w:t>Ear infection</w:t>
            </w:r>
          </w:p>
        </w:tc>
        <w:tc>
          <w:tcPr>
            <w:tcW w:w="6946" w:type="dxa"/>
            <w:vAlign w:val="center"/>
          </w:tcPr>
          <w:p w14:paraId="6BB8FCC2" w14:textId="43B38133" w:rsidR="008828B4" w:rsidRPr="00F321FC" w:rsidRDefault="008828B4" w:rsidP="00213B09">
            <w:pPr>
              <w:rPr>
                <w:rFonts w:cs="Arial"/>
              </w:rPr>
            </w:pPr>
            <w:r w:rsidRPr="00175FA4">
              <w:rPr>
                <w:sz w:val="21"/>
                <w:szCs w:val="21"/>
              </w:rPr>
              <w:t xml:space="preserve">Treat appropriately. If patient is due for the injection </w:t>
            </w:r>
            <w:r>
              <w:rPr>
                <w:sz w:val="21"/>
                <w:szCs w:val="21"/>
              </w:rPr>
              <w:t>–</w:t>
            </w:r>
            <w:r w:rsidRPr="00175FA4">
              <w:rPr>
                <w:sz w:val="21"/>
                <w:szCs w:val="21"/>
              </w:rPr>
              <w:t xml:space="preserve"> defer</w:t>
            </w:r>
            <w:r>
              <w:rPr>
                <w:sz w:val="21"/>
                <w:szCs w:val="21"/>
              </w:rPr>
              <w:t xml:space="preserve"> no longer than</w:t>
            </w:r>
            <w:r w:rsidRPr="00175FA4">
              <w:rPr>
                <w:sz w:val="21"/>
                <w:szCs w:val="21"/>
              </w:rPr>
              <w:t xml:space="preserve"> </w:t>
            </w:r>
            <w:r>
              <w:rPr>
                <w:sz w:val="21"/>
                <w:szCs w:val="21"/>
              </w:rPr>
              <w:t xml:space="preserve">2 weeks whilst </w:t>
            </w:r>
            <w:r w:rsidRPr="00175FA4">
              <w:rPr>
                <w:sz w:val="21"/>
                <w:szCs w:val="21"/>
              </w:rPr>
              <w:t>treatment completed.</w:t>
            </w:r>
            <w:r>
              <w:rPr>
                <w:sz w:val="21"/>
                <w:szCs w:val="21"/>
              </w:rPr>
              <w:t xml:space="preserve"> Persistent discharge could indicate osteonecrosis of the external auditory meatus, which requires referral to ENT to evaluate.</w:t>
            </w:r>
          </w:p>
        </w:tc>
      </w:tr>
      <w:tr w:rsidR="008828B4" w:rsidRPr="00F321FC" w14:paraId="37BD85F9" w14:textId="77777777" w:rsidTr="00CE1EB8">
        <w:trPr>
          <w:cantSplit/>
          <w:trHeight w:val="48"/>
        </w:trPr>
        <w:tc>
          <w:tcPr>
            <w:tcW w:w="3544" w:type="dxa"/>
            <w:shd w:val="clear" w:color="auto" w:fill="D9D9D9" w:themeFill="background1" w:themeFillShade="D9"/>
            <w:vAlign w:val="center"/>
          </w:tcPr>
          <w:p w14:paraId="65F1D0DE" w14:textId="6A0741E1" w:rsidR="008828B4" w:rsidRPr="00F321FC" w:rsidRDefault="008828B4" w:rsidP="00213B09">
            <w:pPr>
              <w:rPr>
                <w:rFonts w:cs="Arial"/>
              </w:rPr>
            </w:pPr>
            <w:r w:rsidRPr="00175FA4">
              <w:rPr>
                <w:b/>
                <w:sz w:val="21"/>
                <w:szCs w:val="21"/>
              </w:rPr>
              <w:t xml:space="preserve">Rare </w:t>
            </w:r>
            <w:r w:rsidRPr="00175FA4">
              <w:rPr>
                <w:sz w:val="21"/>
                <w:szCs w:val="21"/>
              </w:rPr>
              <w:t>(1/10,000 to &lt;1/1,000):</w:t>
            </w:r>
          </w:p>
        </w:tc>
        <w:tc>
          <w:tcPr>
            <w:tcW w:w="6946" w:type="dxa"/>
            <w:shd w:val="clear" w:color="auto" w:fill="D9D9D9" w:themeFill="background1" w:themeFillShade="D9"/>
          </w:tcPr>
          <w:p w14:paraId="074D3381" w14:textId="337742A9" w:rsidR="008828B4" w:rsidRPr="00F321FC" w:rsidRDefault="008828B4" w:rsidP="00213B09">
            <w:pPr>
              <w:rPr>
                <w:rFonts w:cs="Arial"/>
              </w:rPr>
            </w:pPr>
          </w:p>
        </w:tc>
      </w:tr>
      <w:tr w:rsidR="008828B4" w:rsidRPr="00F321FC" w14:paraId="214ED6F5" w14:textId="77777777" w:rsidTr="00CE1EB8">
        <w:trPr>
          <w:cantSplit/>
          <w:trHeight w:val="48"/>
        </w:trPr>
        <w:tc>
          <w:tcPr>
            <w:tcW w:w="3544" w:type="dxa"/>
            <w:vAlign w:val="center"/>
          </w:tcPr>
          <w:p w14:paraId="7E88643E" w14:textId="51EE3DC6" w:rsidR="008828B4" w:rsidRPr="00F321FC" w:rsidRDefault="008828B4" w:rsidP="00213B09">
            <w:pPr>
              <w:rPr>
                <w:rFonts w:cs="Arial"/>
              </w:rPr>
            </w:pPr>
            <w:r w:rsidRPr="00175FA4">
              <w:rPr>
                <w:sz w:val="21"/>
                <w:szCs w:val="21"/>
              </w:rPr>
              <w:t>Osteonecrosis of the jaw</w:t>
            </w:r>
          </w:p>
        </w:tc>
        <w:tc>
          <w:tcPr>
            <w:tcW w:w="6946" w:type="dxa"/>
            <w:vAlign w:val="center"/>
          </w:tcPr>
          <w:p w14:paraId="59049ED9" w14:textId="3BC4BAD5" w:rsidR="008828B4" w:rsidRPr="00F321FC" w:rsidRDefault="008828B4" w:rsidP="00213B09">
            <w:pPr>
              <w:rPr>
                <w:rFonts w:cs="Arial"/>
              </w:rPr>
            </w:pPr>
            <w:r w:rsidRPr="00175FA4">
              <w:rPr>
                <w:sz w:val="21"/>
                <w:szCs w:val="21"/>
              </w:rPr>
              <w:t xml:space="preserve">Seek specialist </w:t>
            </w:r>
            <w:r>
              <w:rPr>
                <w:sz w:val="21"/>
                <w:szCs w:val="21"/>
              </w:rPr>
              <w:t xml:space="preserve">dental/ maxillofacial </w:t>
            </w:r>
            <w:r w:rsidRPr="00175FA4">
              <w:rPr>
                <w:sz w:val="21"/>
                <w:szCs w:val="21"/>
              </w:rPr>
              <w:t>advice.</w:t>
            </w:r>
          </w:p>
        </w:tc>
      </w:tr>
      <w:tr w:rsidR="008828B4" w:rsidRPr="00F321FC" w14:paraId="54DDE46F" w14:textId="77777777" w:rsidTr="00213B09">
        <w:trPr>
          <w:cantSplit/>
          <w:trHeight w:val="48"/>
        </w:trPr>
        <w:tc>
          <w:tcPr>
            <w:tcW w:w="3544" w:type="dxa"/>
            <w:vAlign w:val="center"/>
          </w:tcPr>
          <w:p w14:paraId="3FDD2A81" w14:textId="12449B2A" w:rsidR="008828B4" w:rsidRPr="00F321FC" w:rsidRDefault="008828B4" w:rsidP="00213B09">
            <w:pPr>
              <w:rPr>
                <w:rFonts w:cs="Arial"/>
              </w:rPr>
            </w:pPr>
            <w:r w:rsidRPr="00175FA4">
              <w:rPr>
                <w:sz w:val="21"/>
                <w:szCs w:val="21"/>
              </w:rPr>
              <w:t>Hypocalcaemia. Severe symptomatic hypocalcaemia has been reported in patients receiving denosumab 60 mg. Hypocalcaemia with denosumab most commonly occurs within the first 6 months of dosing, but it can occur at any time during treatment.</w:t>
            </w:r>
            <w:r w:rsidRPr="00175FA4">
              <w:rPr>
                <w:position w:val="8"/>
                <w:sz w:val="21"/>
                <w:szCs w:val="21"/>
              </w:rPr>
              <w:t>6</w:t>
            </w:r>
          </w:p>
        </w:tc>
        <w:tc>
          <w:tcPr>
            <w:tcW w:w="6946" w:type="dxa"/>
            <w:vAlign w:val="center"/>
          </w:tcPr>
          <w:p w14:paraId="5750E13E" w14:textId="651BA1F6" w:rsidR="008828B4" w:rsidRPr="00F321FC" w:rsidRDefault="008828B4" w:rsidP="00213B09">
            <w:pPr>
              <w:rPr>
                <w:rFonts w:cs="Arial"/>
              </w:rPr>
            </w:pPr>
            <w:r w:rsidRPr="00175FA4">
              <w:rPr>
                <w:sz w:val="21"/>
                <w:szCs w:val="21"/>
              </w:rPr>
              <w:t xml:space="preserve">Do not give denosumab to patients with hypocalcaemia as this will make it worse. Check </w:t>
            </w:r>
            <w:r>
              <w:rPr>
                <w:sz w:val="21"/>
                <w:szCs w:val="21"/>
              </w:rPr>
              <w:t xml:space="preserve">renal function and ensure </w:t>
            </w:r>
            <w:r w:rsidRPr="00175FA4">
              <w:rPr>
                <w:sz w:val="21"/>
                <w:szCs w:val="21"/>
              </w:rPr>
              <w:t>patient is taking adequate calcium and vitamin D supplementation. Seek specialist advice.</w:t>
            </w:r>
          </w:p>
        </w:tc>
      </w:tr>
      <w:tr w:rsidR="008828B4" w:rsidRPr="00F321FC" w14:paraId="797322BA" w14:textId="77777777" w:rsidTr="00213B09">
        <w:trPr>
          <w:cantSplit/>
          <w:trHeight w:val="48"/>
        </w:trPr>
        <w:tc>
          <w:tcPr>
            <w:tcW w:w="3544" w:type="dxa"/>
            <w:vAlign w:val="center"/>
          </w:tcPr>
          <w:p w14:paraId="396757E5" w14:textId="458EDEE8" w:rsidR="008828B4" w:rsidRPr="00F321FC" w:rsidRDefault="008828B4" w:rsidP="00213B09">
            <w:pPr>
              <w:rPr>
                <w:rFonts w:cs="Arial"/>
              </w:rPr>
            </w:pPr>
            <w:r w:rsidRPr="00175FA4">
              <w:rPr>
                <w:sz w:val="21"/>
                <w:szCs w:val="21"/>
              </w:rPr>
              <w:t>Hypersensitivity to denosumab</w:t>
            </w:r>
          </w:p>
        </w:tc>
        <w:tc>
          <w:tcPr>
            <w:tcW w:w="6946" w:type="dxa"/>
            <w:vAlign w:val="center"/>
          </w:tcPr>
          <w:p w14:paraId="47C71535" w14:textId="77777777" w:rsidR="008828B4" w:rsidRDefault="008828B4" w:rsidP="00213B09">
            <w:pPr>
              <w:rPr>
                <w:sz w:val="21"/>
                <w:szCs w:val="21"/>
              </w:rPr>
            </w:pPr>
            <w:r w:rsidRPr="00175FA4">
              <w:rPr>
                <w:sz w:val="21"/>
                <w:szCs w:val="21"/>
              </w:rPr>
              <w:t xml:space="preserve">This is a contraindication according to the manufacturer’s literature. </w:t>
            </w:r>
          </w:p>
          <w:p w14:paraId="66161D69" w14:textId="3B8569D8" w:rsidR="008828B4" w:rsidRPr="00F321FC" w:rsidRDefault="008828B4" w:rsidP="00213B09">
            <w:pPr>
              <w:rPr>
                <w:rFonts w:cs="Arial"/>
              </w:rPr>
            </w:pPr>
            <w:r w:rsidRPr="00175FA4">
              <w:rPr>
                <w:sz w:val="21"/>
                <w:szCs w:val="21"/>
              </w:rPr>
              <w:t>Do not give.</w:t>
            </w:r>
          </w:p>
        </w:tc>
      </w:tr>
      <w:tr w:rsidR="008828B4" w:rsidRPr="00F321FC" w14:paraId="243D60AA" w14:textId="77777777" w:rsidTr="00213B09">
        <w:trPr>
          <w:cantSplit/>
          <w:trHeight w:val="48"/>
        </w:trPr>
        <w:tc>
          <w:tcPr>
            <w:tcW w:w="3544" w:type="dxa"/>
            <w:vAlign w:val="center"/>
          </w:tcPr>
          <w:p w14:paraId="0961FD83" w14:textId="440BBAFF" w:rsidR="008828B4" w:rsidRPr="00F321FC" w:rsidRDefault="008828B4" w:rsidP="00213B09">
            <w:pPr>
              <w:rPr>
                <w:rFonts w:cs="Arial"/>
              </w:rPr>
            </w:pPr>
            <w:r w:rsidRPr="00175FA4">
              <w:rPr>
                <w:sz w:val="21"/>
                <w:szCs w:val="21"/>
              </w:rPr>
              <w:t>Atypical subtrochanteric fracture</w:t>
            </w:r>
          </w:p>
        </w:tc>
        <w:tc>
          <w:tcPr>
            <w:tcW w:w="6946" w:type="dxa"/>
            <w:vAlign w:val="center"/>
          </w:tcPr>
          <w:p w14:paraId="6EE5F938" w14:textId="77777777" w:rsidR="008828B4" w:rsidRDefault="008828B4" w:rsidP="00213B09">
            <w:pPr>
              <w:pStyle w:val="TableParagraph"/>
              <w:spacing w:line="276" w:lineRule="auto"/>
              <w:ind w:left="110" w:right="160"/>
              <w:rPr>
                <w:sz w:val="21"/>
                <w:szCs w:val="21"/>
              </w:rPr>
            </w:pPr>
            <w:r w:rsidRPr="00175FA4">
              <w:rPr>
                <w:sz w:val="21"/>
                <w:szCs w:val="21"/>
              </w:rPr>
              <w:t xml:space="preserve">Should be suspected in a patient complaining of a new thigh or groin pain, especially if it is bilateral and worse on weight bearing. Request an urgent AP and lateral X-ray of </w:t>
            </w:r>
            <w:r>
              <w:rPr>
                <w:sz w:val="21"/>
                <w:szCs w:val="21"/>
              </w:rPr>
              <w:t xml:space="preserve">both </w:t>
            </w:r>
            <w:r w:rsidRPr="00175FA4">
              <w:rPr>
                <w:sz w:val="21"/>
                <w:szCs w:val="21"/>
              </w:rPr>
              <w:t>femora</w:t>
            </w:r>
            <w:r>
              <w:rPr>
                <w:sz w:val="21"/>
                <w:szCs w:val="21"/>
              </w:rPr>
              <w:t xml:space="preserve"> (full length)</w:t>
            </w:r>
            <w:r w:rsidRPr="00175FA4">
              <w:rPr>
                <w:sz w:val="21"/>
                <w:szCs w:val="21"/>
              </w:rPr>
              <w:t>.</w:t>
            </w:r>
          </w:p>
          <w:p w14:paraId="0796D009" w14:textId="77777777" w:rsidR="008828B4" w:rsidRPr="00175FA4" w:rsidRDefault="008828B4" w:rsidP="00213B09">
            <w:pPr>
              <w:pStyle w:val="TableParagraph"/>
              <w:spacing w:line="276" w:lineRule="auto"/>
              <w:ind w:left="110" w:right="160"/>
              <w:rPr>
                <w:sz w:val="21"/>
                <w:szCs w:val="21"/>
              </w:rPr>
            </w:pPr>
            <w:r w:rsidRPr="00175FA4">
              <w:rPr>
                <w:sz w:val="21"/>
                <w:szCs w:val="21"/>
              </w:rPr>
              <w:t xml:space="preserve">If the radiograph reports insufficiency fracture or localised periosteal reaction, the patient should be made non-weight bearing and referred urgently to the local </w:t>
            </w:r>
            <w:r>
              <w:rPr>
                <w:sz w:val="21"/>
                <w:szCs w:val="21"/>
              </w:rPr>
              <w:t xml:space="preserve">orthopaedic </w:t>
            </w:r>
            <w:r w:rsidRPr="00175FA4">
              <w:rPr>
                <w:sz w:val="21"/>
                <w:szCs w:val="21"/>
              </w:rPr>
              <w:t>team</w:t>
            </w:r>
            <w:r>
              <w:rPr>
                <w:sz w:val="21"/>
                <w:szCs w:val="21"/>
              </w:rPr>
              <w:t xml:space="preserve"> for consideration of intramedullary nail</w:t>
            </w:r>
            <w:r w:rsidRPr="00175FA4">
              <w:rPr>
                <w:sz w:val="21"/>
                <w:szCs w:val="21"/>
              </w:rPr>
              <w:t>.</w:t>
            </w:r>
          </w:p>
          <w:p w14:paraId="3FB791F5" w14:textId="77777777" w:rsidR="008828B4" w:rsidRPr="00175FA4" w:rsidRDefault="008828B4" w:rsidP="00213B09">
            <w:pPr>
              <w:pStyle w:val="TableParagraph"/>
              <w:spacing w:line="276" w:lineRule="auto"/>
              <w:ind w:left="110" w:right="564"/>
              <w:rPr>
                <w:sz w:val="21"/>
                <w:szCs w:val="21"/>
              </w:rPr>
            </w:pPr>
            <w:r w:rsidRPr="00175FA4">
              <w:rPr>
                <w:sz w:val="21"/>
                <w:szCs w:val="21"/>
              </w:rPr>
              <w:t>Inform osteoporosis specialist urgently and do not give further denosumab.</w:t>
            </w:r>
          </w:p>
          <w:p w14:paraId="42DC9B44" w14:textId="00672FB0" w:rsidR="008828B4" w:rsidRPr="00F321FC" w:rsidRDefault="008828B4" w:rsidP="00213B09">
            <w:pPr>
              <w:rPr>
                <w:rFonts w:cs="Arial"/>
              </w:rPr>
            </w:pPr>
            <w:r w:rsidRPr="00175FA4">
              <w:rPr>
                <w:sz w:val="21"/>
                <w:szCs w:val="21"/>
              </w:rPr>
              <w:t xml:space="preserve">If the radiograph is normal but the patient has persistent groin or thigh </w:t>
            </w:r>
            <w:proofErr w:type="gramStart"/>
            <w:r w:rsidRPr="00175FA4">
              <w:rPr>
                <w:sz w:val="21"/>
                <w:szCs w:val="21"/>
              </w:rPr>
              <w:t>pain</w:t>
            </w:r>
            <w:proofErr w:type="gramEnd"/>
            <w:r w:rsidRPr="00175FA4">
              <w:rPr>
                <w:sz w:val="21"/>
                <w:szCs w:val="21"/>
              </w:rPr>
              <w:t xml:space="preserve"> </w:t>
            </w:r>
            <w:r>
              <w:rPr>
                <w:sz w:val="21"/>
                <w:szCs w:val="21"/>
              </w:rPr>
              <w:t xml:space="preserve">then </w:t>
            </w:r>
            <w:r w:rsidRPr="00175FA4">
              <w:rPr>
                <w:sz w:val="21"/>
                <w:szCs w:val="21"/>
              </w:rPr>
              <w:t xml:space="preserve">discuss with the </w:t>
            </w:r>
            <w:r>
              <w:rPr>
                <w:sz w:val="21"/>
                <w:szCs w:val="21"/>
              </w:rPr>
              <w:t xml:space="preserve">treating </w:t>
            </w:r>
            <w:r w:rsidRPr="00175FA4">
              <w:rPr>
                <w:sz w:val="21"/>
                <w:szCs w:val="21"/>
              </w:rPr>
              <w:t>specialist.</w:t>
            </w:r>
          </w:p>
        </w:tc>
      </w:tr>
    </w:tbl>
    <w:p w14:paraId="09F0CA29" w14:textId="77777777" w:rsidR="0051526F" w:rsidRDefault="0051526F"/>
    <w:tbl>
      <w:tblPr>
        <w:tblStyle w:val="TableGridLight1"/>
        <w:tblW w:w="0" w:type="auto"/>
        <w:tblInd w:w="-5" w:type="dxa"/>
        <w:tblCellMar>
          <w:top w:w="57" w:type="dxa"/>
          <w:bottom w:w="57" w:type="dxa"/>
        </w:tblCellMar>
        <w:tblLook w:val="0480" w:firstRow="0" w:lastRow="0" w:firstColumn="1" w:lastColumn="0" w:noHBand="0" w:noVBand="1"/>
      </w:tblPr>
      <w:tblGrid>
        <w:gridCol w:w="2268"/>
        <w:gridCol w:w="8193"/>
      </w:tblGrid>
      <w:tr w:rsidR="00F132AA" w:rsidRPr="00F321FC" w14:paraId="399D38CB" w14:textId="77777777" w:rsidTr="00BF174A">
        <w:tc>
          <w:tcPr>
            <w:tcW w:w="2268" w:type="dxa"/>
          </w:tcPr>
          <w:p w14:paraId="139BFC3E" w14:textId="77777777" w:rsidR="00F132AA" w:rsidRDefault="001860C1" w:rsidP="001860C1">
            <w:pPr>
              <w:pStyle w:val="Heading2"/>
              <w:rPr>
                <w:rFonts w:cs="Arial"/>
              </w:rPr>
            </w:pPr>
            <w:bookmarkStart w:id="21" w:name="eleven_patient_advice"/>
            <w:bookmarkStart w:id="22" w:name="_Toc149231795"/>
            <w:r w:rsidRPr="00F321FC">
              <w:rPr>
                <w:rFonts w:cs="Arial"/>
              </w:rPr>
              <w:t>Advice to patients and carers</w:t>
            </w:r>
            <w:bookmarkEnd w:id="21"/>
            <w:bookmarkEnd w:id="22"/>
          </w:p>
          <w:p w14:paraId="4928E953" w14:textId="77777777" w:rsidR="005D79FA" w:rsidRDefault="005D79FA" w:rsidP="005D79FA"/>
          <w:p w14:paraId="7E51F76A" w14:textId="31C44DE3" w:rsidR="005D79FA" w:rsidRPr="005D79FA" w:rsidRDefault="005D79FA" w:rsidP="005D79FA"/>
        </w:tc>
        <w:tc>
          <w:tcPr>
            <w:tcW w:w="8193" w:type="dxa"/>
          </w:tcPr>
          <w:p w14:paraId="6AB66117" w14:textId="1332010A" w:rsidR="00F64ED9" w:rsidRDefault="00F64ED9" w:rsidP="00F42E9B">
            <w:pPr>
              <w:pStyle w:val="BodyText"/>
              <w:numPr>
                <w:ilvl w:val="0"/>
                <w:numId w:val="14"/>
              </w:numPr>
            </w:pPr>
            <w:r w:rsidRPr="00207EB4">
              <w:t xml:space="preserve">About the expected duration of </w:t>
            </w:r>
            <w:proofErr w:type="gramStart"/>
            <w:r w:rsidRPr="00207EB4">
              <w:t>treatment</w:t>
            </w:r>
            <w:r>
              <w:t>;</w:t>
            </w:r>
            <w:proofErr w:type="gramEnd"/>
            <w:r>
              <w:t xml:space="preserve"> </w:t>
            </w:r>
            <w:r w:rsidRPr="00207EB4">
              <w:t>That treatment may be prolonged or lifelong as there is no clear way to discontinue denosumab</w:t>
            </w:r>
            <w:r>
              <w:t xml:space="preserve"> safely</w:t>
            </w:r>
            <w:r w:rsidR="00F42E9B">
              <w:t>.</w:t>
            </w:r>
          </w:p>
          <w:p w14:paraId="71B79D7F" w14:textId="292A721D" w:rsidR="00F64ED9" w:rsidRDefault="00F64ED9" w:rsidP="00F42E9B">
            <w:pPr>
              <w:pStyle w:val="BodyText"/>
              <w:numPr>
                <w:ilvl w:val="0"/>
                <w:numId w:val="14"/>
              </w:numPr>
            </w:pPr>
            <w:r w:rsidRPr="00207EB4">
              <w:t>That delays to treatment may be harmful</w:t>
            </w:r>
            <w:r w:rsidR="00F42E9B">
              <w:t>.</w:t>
            </w:r>
          </w:p>
          <w:p w14:paraId="2C2211CA" w14:textId="010E673A" w:rsidR="00F64ED9" w:rsidRDefault="00F64ED9" w:rsidP="00F42E9B">
            <w:pPr>
              <w:pStyle w:val="BodyText"/>
              <w:numPr>
                <w:ilvl w:val="0"/>
                <w:numId w:val="14"/>
              </w:numPr>
            </w:pPr>
            <w:r w:rsidRPr="00207EB4">
              <w:t>That they should not stop treatment without specialist advice</w:t>
            </w:r>
            <w:r w:rsidR="00F42E9B">
              <w:t>.</w:t>
            </w:r>
          </w:p>
          <w:p w14:paraId="253E8492" w14:textId="78404121" w:rsidR="00F64ED9" w:rsidRDefault="00F64ED9" w:rsidP="00F42E9B">
            <w:pPr>
              <w:pStyle w:val="BodyText"/>
              <w:numPr>
                <w:ilvl w:val="0"/>
                <w:numId w:val="14"/>
              </w:numPr>
            </w:pPr>
            <w:r>
              <w:t>To emphasise the importance of scrupulous oral hygiene and regular dental checks. If there are any concerns about this a dental checkup prior to starting treatment is recommended</w:t>
            </w:r>
            <w:r w:rsidR="00F42E9B">
              <w:t>.</w:t>
            </w:r>
          </w:p>
          <w:p w14:paraId="6E71CB80" w14:textId="796E1657" w:rsidR="00F64ED9" w:rsidRDefault="00F64ED9" w:rsidP="00F42E9B">
            <w:pPr>
              <w:pStyle w:val="BodyText"/>
              <w:numPr>
                <w:ilvl w:val="0"/>
                <w:numId w:val="14"/>
              </w:numPr>
            </w:pPr>
            <w:r w:rsidRPr="00F64ED9">
              <w:t>To report any side effects of treatment</w:t>
            </w:r>
            <w:r>
              <w:t xml:space="preserve">, specifically symptoms of hypocalcaemia </w:t>
            </w:r>
            <w:r w:rsidRPr="00F64ED9">
              <w:t>(cramps, spasms or twitches in muscles, tingling around mouth, fingers or toes)</w:t>
            </w:r>
            <w:r w:rsidR="00F42E9B">
              <w:t>.</w:t>
            </w:r>
          </w:p>
          <w:p w14:paraId="5BF3C065" w14:textId="1F66F057" w:rsidR="00F64ED9" w:rsidRDefault="00F42E9B" w:rsidP="00F42E9B">
            <w:pPr>
              <w:pStyle w:val="BodyText"/>
              <w:numPr>
                <w:ilvl w:val="0"/>
                <w:numId w:val="14"/>
              </w:numPr>
            </w:pPr>
            <w:r>
              <w:t>T</w:t>
            </w:r>
            <w:r w:rsidR="00F64ED9">
              <w:t>o report any new unexplained thigh or groin pain, or discharge from the ear</w:t>
            </w:r>
            <w:r>
              <w:t>.</w:t>
            </w:r>
          </w:p>
          <w:p w14:paraId="3128D568" w14:textId="77777777" w:rsidR="00F64ED9" w:rsidRDefault="00F64ED9" w:rsidP="00F42E9B">
            <w:pPr>
              <w:pStyle w:val="BodyText"/>
              <w:numPr>
                <w:ilvl w:val="0"/>
                <w:numId w:val="14"/>
              </w:numPr>
            </w:pPr>
            <w:r>
              <w:t>Patient information regarding Denosumab is available from the Royal Osteoporosis Society website (</w:t>
            </w:r>
            <w:hyperlink r:id="rId16" w:history="1">
              <w:r w:rsidRPr="00D07F9B">
                <w:rPr>
                  <w:rStyle w:val="Hyperlink"/>
                </w:rPr>
                <w:t>https://theros.org.uk/information-and-support/osteoporosis/treatment/denosumab/</w:t>
              </w:r>
            </w:hyperlink>
            <w:r>
              <w:t xml:space="preserve"> )</w:t>
            </w:r>
          </w:p>
          <w:p w14:paraId="298DA26F" w14:textId="5F93E0F4" w:rsidR="00F64ED9" w:rsidRPr="00F64ED9" w:rsidRDefault="00F64ED9" w:rsidP="00F64ED9">
            <w:pPr>
              <w:widowControl w:val="0"/>
              <w:tabs>
                <w:tab w:val="left" w:pos="1120"/>
              </w:tabs>
              <w:autoSpaceDE w:val="0"/>
              <w:autoSpaceDN w:val="0"/>
              <w:spacing w:before="120" w:after="120" w:line="276" w:lineRule="auto"/>
              <w:rPr>
                <w:rFonts w:cs="Arial"/>
              </w:rPr>
            </w:pPr>
          </w:p>
        </w:tc>
      </w:tr>
      <w:tr w:rsidR="001860C1" w:rsidRPr="00F321FC" w14:paraId="317161E6" w14:textId="77777777" w:rsidTr="00BF174A">
        <w:tc>
          <w:tcPr>
            <w:tcW w:w="2268" w:type="dxa"/>
          </w:tcPr>
          <w:p w14:paraId="7BADD8F8" w14:textId="77777777" w:rsidR="001860C1" w:rsidRDefault="009F106E" w:rsidP="009F106E">
            <w:pPr>
              <w:pStyle w:val="Heading2"/>
              <w:rPr>
                <w:rFonts w:cs="Arial"/>
              </w:rPr>
            </w:pPr>
            <w:bookmarkStart w:id="23" w:name="twelve_pregnancy"/>
            <w:bookmarkStart w:id="24" w:name="_Toc149231796"/>
            <w:r w:rsidRPr="00F321FC">
              <w:rPr>
                <w:rFonts w:cs="Arial"/>
              </w:rPr>
              <w:t>Pregnancy</w:t>
            </w:r>
            <w:r w:rsidR="00FB404F">
              <w:rPr>
                <w:rFonts w:cs="Arial"/>
              </w:rPr>
              <w:t>, paternal exposure</w:t>
            </w:r>
            <w:r w:rsidRPr="00F321FC">
              <w:rPr>
                <w:rFonts w:cs="Arial"/>
              </w:rPr>
              <w:t xml:space="preserve"> and breastfeeding</w:t>
            </w:r>
            <w:bookmarkEnd w:id="23"/>
            <w:bookmarkEnd w:id="24"/>
          </w:p>
          <w:p w14:paraId="0AE00B39" w14:textId="77777777" w:rsidR="005D79FA" w:rsidRDefault="005D79FA" w:rsidP="005D79FA"/>
          <w:p w14:paraId="4C3ACC97" w14:textId="3495C602" w:rsidR="005D79FA" w:rsidRPr="005D79FA" w:rsidRDefault="005D79FA" w:rsidP="0016513F">
            <w:pPr>
              <w:autoSpaceDE w:val="0"/>
              <w:autoSpaceDN w:val="0"/>
              <w:adjustRightInd w:val="0"/>
              <w:spacing w:after="0"/>
            </w:pPr>
          </w:p>
        </w:tc>
        <w:tc>
          <w:tcPr>
            <w:tcW w:w="8193" w:type="dxa"/>
          </w:tcPr>
          <w:p w14:paraId="4EBC4C15" w14:textId="33846314" w:rsidR="00F34C5E" w:rsidRPr="0016513F" w:rsidRDefault="00F34C5E" w:rsidP="00F34C5E">
            <w:pPr>
              <w:rPr>
                <w:rFonts w:cs="Arial"/>
              </w:rPr>
            </w:pPr>
            <w:r w:rsidRPr="007A56FB">
              <w:rPr>
                <w:b/>
                <w:bCs/>
              </w:rPr>
              <w:t>Pregnancy</w:t>
            </w:r>
            <w:r w:rsidR="0016513F">
              <w:rPr>
                <w:b/>
                <w:bCs/>
              </w:rPr>
              <w:t xml:space="preserve"> and breastfeeding: </w:t>
            </w:r>
            <w:r w:rsidR="0016513F">
              <w:t xml:space="preserve">Denosumab </w:t>
            </w:r>
            <w:r w:rsidR="00492BBF" w:rsidRPr="00492BBF">
              <w:t xml:space="preserve">is not recommended for use in pregnant women and women of child-bearing potential not using contraception. Women should be advised not to become pregnant during and for at least 5 months after treatment with </w:t>
            </w:r>
            <w:r w:rsidR="00492BBF">
              <w:t>denosumab</w:t>
            </w:r>
            <w:r w:rsidR="00492BBF" w:rsidRPr="00492BBF">
              <w:t>.</w:t>
            </w:r>
            <w:r w:rsidR="00492BBF">
              <w:t xml:space="preserve"> </w:t>
            </w:r>
            <w:r w:rsidR="0016513F">
              <w:t>Discuss with the specialist if concerned.</w:t>
            </w:r>
          </w:p>
          <w:p w14:paraId="0E2398DE" w14:textId="77777777" w:rsidR="007A56FB" w:rsidRDefault="007A56FB" w:rsidP="007A56FB">
            <w:pPr>
              <w:rPr>
                <w:rFonts w:cs="Arial"/>
              </w:rPr>
            </w:pPr>
          </w:p>
          <w:p w14:paraId="06C7937A" w14:textId="1C6898D3" w:rsidR="007A56FB" w:rsidRPr="007A56FB" w:rsidRDefault="007A56FB" w:rsidP="0016513F">
            <w:pPr>
              <w:rPr>
                <w:rFonts w:cs="Arial"/>
              </w:rPr>
            </w:pPr>
            <w:r w:rsidRPr="007A56FB">
              <w:rPr>
                <w:rFonts w:cs="Arial"/>
                <w:b/>
                <w:bCs/>
              </w:rPr>
              <w:t>Paternal exposure</w:t>
            </w:r>
            <w:r>
              <w:rPr>
                <w:rFonts w:cs="Arial"/>
              </w:rPr>
              <w:t xml:space="preserve">: </w:t>
            </w:r>
            <w:r w:rsidR="0016513F">
              <w:rPr>
                <w:rFonts w:cs="Arial"/>
              </w:rPr>
              <w:t>Denosumab is not present in semen in sufficient concentration to cause problems; paternal exposure is safe.</w:t>
            </w:r>
          </w:p>
        </w:tc>
      </w:tr>
      <w:tr w:rsidR="00767B99" w:rsidRPr="00F321FC" w14:paraId="6398E15E" w14:textId="77777777" w:rsidTr="00BF174A">
        <w:tc>
          <w:tcPr>
            <w:tcW w:w="2268" w:type="dxa"/>
          </w:tcPr>
          <w:p w14:paraId="6BB398C7" w14:textId="6C037366" w:rsidR="00767B99" w:rsidRPr="00F321FC" w:rsidRDefault="00767B99" w:rsidP="00767B99">
            <w:pPr>
              <w:pStyle w:val="Heading2"/>
              <w:rPr>
                <w:rFonts w:cs="Arial"/>
              </w:rPr>
            </w:pPr>
            <w:bookmarkStart w:id="25" w:name="thirteen_specialist_contact"/>
            <w:bookmarkStart w:id="26" w:name="_Toc149231797"/>
            <w:r w:rsidRPr="00F321FC">
              <w:rPr>
                <w:rFonts w:cs="Arial"/>
              </w:rPr>
              <w:t>Specialist contact information</w:t>
            </w:r>
            <w:r>
              <w:rPr>
                <w:rFonts w:cs="Arial"/>
              </w:rPr>
              <w:t xml:space="preserve"> and arrangements for referral</w:t>
            </w:r>
            <w:bookmarkEnd w:id="25"/>
            <w:bookmarkEnd w:id="26"/>
          </w:p>
        </w:tc>
        <w:tc>
          <w:tcPr>
            <w:tcW w:w="8193" w:type="dxa"/>
          </w:tcPr>
          <w:p w14:paraId="2293BC8F" w14:textId="77777777" w:rsidR="008E2B62" w:rsidRDefault="008E2B62" w:rsidP="008E2B62">
            <w:pPr>
              <w:spacing w:after="0"/>
              <w:rPr>
                <w:rFonts w:ascii="Calibri" w:eastAsia="Times New Roman" w:hAnsi="Calibri" w:cs="Calibri"/>
                <w:i/>
              </w:rPr>
            </w:pPr>
            <w:r w:rsidRPr="000A1C3F">
              <w:rPr>
                <w:rFonts w:ascii="Calibri" w:eastAsia="Times New Roman" w:hAnsi="Calibri" w:cs="Calibri"/>
              </w:rPr>
              <w:t>Name</w:t>
            </w:r>
            <w:r>
              <w:rPr>
                <w:rFonts w:ascii="Calibri" w:eastAsia="Times New Roman" w:hAnsi="Calibri" w:cs="Calibri"/>
              </w:rPr>
              <w:t>:</w:t>
            </w:r>
            <w:r w:rsidRPr="000A1C3F">
              <w:rPr>
                <w:rFonts w:ascii="Calibri" w:eastAsia="Times New Roman" w:hAnsi="Calibri" w:cs="Calibri"/>
              </w:rPr>
              <w:t xml:space="preserve"> </w:t>
            </w:r>
            <w:r>
              <w:rPr>
                <w:rFonts w:ascii="Calibri" w:eastAsia="Times New Roman" w:hAnsi="Calibri" w:cs="Calibri"/>
                <w:i/>
              </w:rPr>
              <w:fldChar w:fldCharType="begin">
                <w:ffData>
                  <w:name w:val=""/>
                  <w:enabled/>
                  <w:calcOnExit w:val="0"/>
                  <w:textInput>
                    <w:default w:val="[insert name]"/>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name]</w:t>
            </w:r>
            <w:r>
              <w:rPr>
                <w:rFonts w:ascii="Calibri" w:eastAsia="Times New Roman" w:hAnsi="Calibri" w:cs="Calibri"/>
                <w:i/>
              </w:rPr>
              <w:fldChar w:fldCharType="end"/>
            </w:r>
          </w:p>
          <w:p w14:paraId="18B5893A" w14:textId="77777777" w:rsidR="008E2B62" w:rsidRPr="00DF18B5" w:rsidRDefault="008E2B62" w:rsidP="008E2B62">
            <w:pPr>
              <w:spacing w:after="0"/>
              <w:rPr>
                <w:rFonts w:ascii="Calibri" w:eastAsia="Times New Roman" w:hAnsi="Calibri" w:cs="Calibri"/>
              </w:rPr>
            </w:pPr>
            <w:r w:rsidRPr="00DF18B5">
              <w:rPr>
                <w:rFonts w:ascii="Calibri" w:eastAsia="Times New Roman" w:hAnsi="Calibri" w:cs="Calibri"/>
              </w:rPr>
              <w:t>Role and specialty:</w:t>
            </w:r>
            <w:r>
              <w:rPr>
                <w:rFonts w:ascii="Calibri" w:eastAsia="Times New Roman" w:hAnsi="Calibri" w:cs="Calibri"/>
              </w:rPr>
              <w:t xml:space="preserve"> </w:t>
            </w:r>
            <w:r>
              <w:rPr>
                <w:rFonts w:ascii="Calibri" w:eastAsia="Times New Roman" w:hAnsi="Calibri" w:cs="Calibri"/>
                <w:i/>
              </w:rPr>
              <w:fldChar w:fldCharType="begin">
                <w:ffData>
                  <w:name w:val=""/>
                  <w:enabled/>
                  <w:calcOnExit w:val="0"/>
                  <w:textInput>
                    <w:default w:val="[insert role and specialty]"/>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role and specialty]</w:t>
            </w:r>
            <w:r>
              <w:rPr>
                <w:rFonts w:ascii="Calibri" w:eastAsia="Times New Roman" w:hAnsi="Calibri" w:cs="Calibri"/>
                <w:i/>
              </w:rPr>
              <w:fldChar w:fldCharType="end"/>
            </w:r>
          </w:p>
          <w:p w14:paraId="075E304B" w14:textId="77777777" w:rsidR="008E2B62" w:rsidRDefault="008E2B62" w:rsidP="008E2B62">
            <w:pPr>
              <w:spacing w:after="0"/>
              <w:rPr>
                <w:rFonts w:ascii="Calibri" w:eastAsia="Times New Roman" w:hAnsi="Calibri" w:cs="Calibri"/>
                <w:i/>
              </w:rPr>
            </w:pPr>
            <w:r w:rsidRPr="000A1C3F">
              <w:rPr>
                <w:rFonts w:ascii="Calibri" w:eastAsia="Times New Roman" w:hAnsi="Calibri" w:cs="Calibri"/>
              </w:rPr>
              <w:t xml:space="preserve">Daytime telephone number: </w:t>
            </w:r>
            <w:r>
              <w:rPr>
                <w:rFonts w:ascii="Calibri" w:eastAsia="Times New Roman" w:hAnsi="Calibri" w:cs="Calibri"/>
                <w:i/>
              </w:rPr>
              <w:fldChar w:fldCharType="begin">
                <w:ffData>
                  <w:name w:val=""/>
                  <w:enabled/>
                  <w:calcOnExit w:val="0"/>
                  <w:textInput>
                    <w:default w:val="[insert daytime telephone number]"/>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daytime telephone number]</w:t>
            </w:r>
            <w:r>
              <w:rPr>
                <w:rFonts w:ascii="Calibri" w:eastAsia="Times New Roman" w:hAnsi="Calibri" w:cs="Calibri"/>
                <w:i/>
              </w:rPr>
              <w:fldChar w:fldCharType="end"/>
            </w:r>
          </w:p>
          <w:p w14:paraId="436F65E4" w14:textId="77777777" w:rsidR="008E2B62" w:rsidRDefault="008E2B62" w:rsidP="008E2B62">
            <w:pPr>
              <w:spacing w:after="0"/>
              <w:rPr>
                <w:rFonts w:ascii="Calibri" w:eastAsia="Times New Roman" w:hAnsi="Calibri" w:cs="Calibri"/>
                <w:i/>
              </w:rPr>
            </w:pPr>
            <w:r>
              <w:rPr>
                <w:rFonts w:ascii="Calibri" w:eastAsia="Times New Roman" w:hAnsi="Calibri" w:cs="Calibri"/>
              </w:rPr>
              <w:t xml:space="preserve">Email address: </w:t>
            </w:r>
            <w:r>
              <w:rPr>
                <w:rFonts w:ascii="Calibri" w:eastAsia="Times New Roman" w:hAnsi="Calibri" w:cs="Calibri"/>
                <w:i/>
              </w:rPr>
              <w:fldChar w:fldCharType="begin">
                <w:ffData>
                  <w:name w:val=""/>
                  <w:enabled/>
                  <w:calcOnExit w:val="0"/>
                  <w:textInput>
                    <w:default w:val="[insert email address]"/>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email address]</w:t>
            </w:r>
            <w:r>
              <w:rPr>
                <w:rFonts w:ascii="Calibri" w:eastAsia="Times New Roman" w:hAnsi="Calibri" w:cs="Calibri"/>
                <w:i/>
              </w:rPr>
              <w:fldChar w:fldCharType="end"/>
            </w:r>
          </w:p>
          <w:p w14:paraId="23A4C1F5" w14:textId="77777777" w:rsidR="008E2B62" w:rsidRPr="00DF18B5" w:rsidRDefault="008E2B62" w:rsidP="008E2B62">
            <w:pPr>
              <w:spacing w:after="0"/>
              <w:rPr>
                <w:rFonts w:ascii="Calibri" w:eastAsia="Times New Roman" w:hAnsi="Calibri" w:cs="Calibri"/>
              </w:rPr>
            </w:pPr>
            <w:r>
              <w:rPr>
                <w:rFonts w:ascii="Calibri" w:eastAsia="Times New Roman" w:hAnsi="Calibri" w:cs="Calibri"/>
              </w:rPr>
              <w:t xml:space="preserve">Alternative contact: </w:t>
            </w:r>
            <w:r>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contact information, e.g. for clinic or specialist nurse]</w:t>
            </w:r>
            <w:r>
              <w:rPr>
                <w:rFonts w:ascii="Calibri" w:eastAsia="Times New Roman" w:hAnsi="Calibri" w:cs="Calibri"/>
                <w:i/>
              </w:rPr>
              <w:fldChar w:fldCharType="end"/>
            </w:r>
          </w:p>
          <w:p w14:paraId="63F90746" w14:textId="02B19D96" w:rsidR="00767B99" w:rsidRPr="00F321FC" w:rsidRDefault="008E2B62" w:rsidP="008E2B62">
            <w:pPr>
              <w:rPr>
                <w:rFonts w:cs="Arial"/>
              </w:rPr>
            </w:pPr>
            <w:r>
              <w:rPr>
                <w:rFonts w:ascii="Calibri" w:eastAsia="Times New Roman" w:hAnsi="Calibri" w:cs="Calibri"/>
              </w:rPr>
              <w:t xml:space="preserve">Out of hours contact details: </w:t>
            </w:r>
            <w:r>
              <w:rPr>
                <w:rFonts w:ascii="Calibri" w:eastAsia="Times New Roman" w:hAnsi="Calibri" w:cs="Calibri"/>
                <w:i/>
              </w:rPr>
              <w:fldChar w:fldCharType="begin">
                <w:ffData>
                  <w:name w:val=""/>
                  <w:enabled/>
                  <w:calcOnExit w:val="0"/>
                  <w:textInput>
                    <w:default w:val="[insert contact information, e.g. for duty doctor]"/>
                  </w:textInput>
                </w:ffData>
              </w:fldChar>
            </w:r>
            <w:r>
              <w:rPr>
                <w:rFonts w:ascii="Calibri" w:eastAsia="Times New Roman" w:hAnsi="Calibri" w:cs="Calibri"/>
                <w:i/>
              </w:rPr>
              <w:instrText xml:space="preserve"> FORMTEXT </w:instrText>
            </w:r>
            <w:r>
              <w:rPr>
                <w:rFonts w:ascii="Calibri" w:eastAsia="Times New Roman" w:hAnsi="Calibri" w:cs="Calibri"/>
                <w:i/>
              </w:rPr>
            </w:r>
            <w:r>
              <w:rPr>
                <w:rFonts w:ascii="Calibri" w:eastAsia="Times New Roman" w:hAnsi="Calibri" w:cs="Calibri"/>
                <w:i/>
              </w:rPr>
              <w:fldChar w:fldCharType="separate"/>
            </w:r>
            <w:r>
              <w:rPr>
                <w:rFonts w:ascii="Calibri" w:eastAsia="Times New Roman" w:hAnsi="Calibri" w:cs="Calibri"/>
                <w:i/>
                <w:noProof/>
              </w:rPr>
              <w:t>[insert contact information, e.g. for duty doctor]</w:t>
            </w:r>
            <w:r>
              <w:rPr>
                <w:rFonts w:ascii="Calibri" w:eastAsia="Times New Roman" w:hAnsi="Calibri" w:cs="Calibri"/>
                <w:i/>
              </w:rPr>
              <w:fldChar w:fldCharType="end"/>
            </w:r>
          </w:p>
        </w:tc>
      </w:tr>
      <w:tr w:rsidR="00767B99" w:rsidRPr="00F321FC" w14:paraId="207E7612" w14:textId="77777777" w:rsidTr="00BF174A">
        <w:tc>
          <w:tcPr>
            <w:tcW w:w="2268" w:type="dxa"/>
          </w:tcPr>
          <w:p w14:paraId="6F225363" w14:textId="77777777" w:rsidR="00767B99" w:rsidRDefault="00767B99" w:rsidP="00767B99">
            <w:pPr>
              <w:pStyle w:val="Heading2"/>
              <w:rPr>
                <w:rFonts w:cs="Arial"/>
              </w:rPr>
            </w:pPr>
            <w:bookmarkStart w:id="27" w:name="fourteen_additional_info"/>
            <w:bookmarkStart w:id="28" w:name="_Toc149231798"/>
            <w:r w:rsidRPr="00F321FC">
              <w:rPr>
                <w:rFonts w:cs="Arial"/>
              </w:rPr>
              <w:t>Additional information</w:t>
            </w:r>
            <w:bookmarkEnd w:id="27"/>
            <w:bookmarkEnd w:id="28"/>
          </w:p>
          <w:p w14:paraId="1F87C246" w14:textId="316BF7A3" w:rsidR="008E2B62" w:rsidRPr="008E2B62" w:rsidRDefault="008E2B62" w:rsidP="0016513F">
            <w:pPr>
              <w:spacing w:after="0"/>
            </w:pPr>
          </w:p>
        </w:tc>
        <w:tc>
          <w:tcPr>
            <w:tcW w:w="8193" w:type="dxa"/>
          </w:tcPr>
          <w:p w14:paraId="22FDFFA3" w14:textId="77777777" w:rsidR="00767B99" w:rsidRDefault="005D79FA" w:rsidP="00FB404F">
            <w:pPr>
              <w:rPr>
                <w:rFonts w:cs="Arial"/>
              </w:rPr>
            </w:pPr>
            <w:r w:rsidRPr="005D79FA">
              <w:rPr>
                <w:rFonts w:cs="Arial"/>
              </w:rPr>
              <w:t>Where patient care is transferred from one specialist service or GP practice to another, a new shared care agreement must be completed. Ensure that the specialist is informed in writing of any changes to the patient’s GP or their contact details.</w:t>
            </w:r>
          </w:p>
          <w:p w14:paraId="52668BBF" w14:textId="77777777" w:rsidR="0016513F" w:rsidRDefault="0016513F" w:rsidP="00FB404F">
            <w:pPr>
              <w:rPr>
                <w:rFonts w:cs="Arial"/>
              </w:rPr>
            </w:pPr>
          </w:p>
          <w:p w14:paraId="6953B974" w14:textId="4729E6F4" w:rsidR="005B66AB" w:rsidRPr="005B66AB" w:rsidRDefault="0016513F" w:rsidP="0016513F">
            <w:pPr>
              <w:rPr>
                <w:rFonts w:cs="Arial"/>
              </w:rPr>
            </w:pPr>
            <w:r>
              <w:rPr>
                <w:rFonts w:cs="Arial"/>
              </w:rPr>
              <w:t xml:space="preserve">Because of the specific risks attached to </w:t>
            </w:r>
            <w:r w:rsidR="00DA56BA">
              <w:rPr>
                <w:rFonts w:cs="Arial"/>
              </w:rPr>
              <w:t xml:space="preserve">stopping or </w:t>
            </w:r>
            <w:r>
              <w:rPr>
                <w:rFonts w:cs="Arial"/>
              </w:rPr>
              <w:t>delaying denosumab therapy, if the patient transfers between services around the time the next dose of the drug is due, special effort should be made to ensure communication between primary care and the treating specialist is rapid so that treatment is not delayed.</w:t>
            </w:r>
          </w:p>
          <w:p w14:paraId="4BFE77DF" w14:textId="77777777" w:rsidR="005B66AB" w:rsidRPr="005B66AB" w:rsidRDefault="005B66AB" w:rsidP="005B66AB">
            <w:pPr>
              <w:rPr>
                <w:rFonts w:cs="Arial"/>
              </w:rPr>
            </w:pPr>
          </w:p>
          <w:p w14:paraId="7C4992F4" w14:textId="77777777" w:rsidR="005B66AB" w:rsidRDefault="005B66AB" w:rsidP="005B66AB">
            <w:pPr>
              <w:rPr>
                <w:rFonts w:cs="Arial"/>
              </w:rPr>
            </w:pPr>
            <w:r w:rsidRPr="005B66AB">
              <w:rPr>
                <w:rFonts w:cs="Arial"/>
              </w:rPr>
              <w:t>The following circumstances/ changes in the patient’s condition require discussion with the specialist team:</w:t>
            </w:r>
          </w:p>
          <w:p w14:paraId="426773DF" w14:textId="2862C34E" w:rsidR="0016513F" w:rsidRDefault="0016513F" w:rsidP="00E00135">
            <w:pPr>
              <w:pStyle w:val="ListParagraph"/>
              <w:numPr>
                <w:ilvl w:val="0"/>
                <w:numId w:val="4"/>
              </w:numPr>
              <w:rPr>
                <w:rFonts w:cs="Arial"/>
              </w:rPr>
            </w:pPr>
            <w:r>
              <w:rPr>
                <w:rFonts w:cs="Arial"/>
              </w:rPr>
              <w:t>If the patient sustains a further fracture on treatment.</w:t>
            </w:r>
          </w:p>
          <w:p w14:paraId="2D979EE4" w14:textId="56E8F763" w:rsidR="005B66AB" w:rsidRDefault="005B66AB" w:rsidP="00E00135">
            <w:pPr>
              <w:pStyle w:val="ListParagraph"/>
              <w:numPr>
                <w:ilvl w:val="0"/>
                <w:numId w:val="4"/>
              </w:numPr>
              <w:rPr>
                <w:rFonts w:cs="Arial"/>
              </w:rPr>
            </w:pPr>
            <w:r w:rsidRPr="005B66AB">
              <w:rPr>
                <w:rFonts w:cs="Arial"/>
              </w:rPr>
              <w:t>If pregnancy occurs or if the patient is planning to become pregnant or breastfeed</w:t>
            </w:r>
            <w:r>
              <w:rPr>
                <w:rFonts w:cs="Arial"/>
              </w:rPr>
              <w:t>.</w:t>
            </w:r>
          </w:p>
          <w:p w14:paraId="2CB75B3C" w14:textId="0FB7B989" w:rsidR="005B66AB" w:rsidRDefault="005B66AB" w:rsidP="00E00135">
            <w:pPr>
              <w:pStyle w:val="ListParagraph"/>
              <w:numPr>
                <w:ilvl w:val="0"/>
                <w:numId w:val="4"/>
              </w:numPr>
              <w:rPr>
                <w:rFonts w:cs="Arial"/>
              </w:rPr>
            </w:pPr>
            <w:r w:rsidRPr="005B66AB">
              <w:rPr>
                <w:rFonts w:cs="Arial"/>
              </w:rPr>
              <w:lastRenderedPageBreak/>
              <w:t xml:space="preserve">If non-compliance is suspected or the patient fails to attend monitoring </w:t>
            </w:r>
            <w:proofErr w:type="gramStart"/>
            <w:r w:rsidRPr="005B66AB">
              <w:rPr>
                <w:rFonts w:cs="Arial"/>
              </w:rPr>
              <w:t>appointments</w:t>
            </w:r>
            <w:proofErr w:type="gramEnd"/>
            <w:r w:rsidRPr="005B66AB">
              <w:rPr>
                <w:rFonts w:cs="Arial"/>
              </w:rPr>
              <w:t xml:space="preserve"> and the primary care prescriber considers it no longer safe to continue prescribing.  (All appropriate steps must first be taken by primary care to reinforce the importance of attendance to the patient)</w:t>
            </w:r>
          </w:p>
          <w:p w14:paraId="1133CE70" w14:textId="22EE52DD" w:rsidR="005B66AB" w:rsidRPr="005B66AB" w:rsidRDefault="005B66AB" w:rsidP="00E00135">
            <w:pPr>
              <w:pStyle w:val="ListParagraph"/>
              <w:numPr>
                <w:ilvl w:val="0"/>
                <w:numId w:val="4"/>
              </w:numPr>
              <w:rPr>
                <w:rFonts w:cs="Arial"/>
              </w:rPr>
            </w:pPr>
            <w:r w:rsidRPr="005B66AB">
              <w:rPr>
                <w:rFonts w:cs="Arial"/>
              </w:rPr>
              <w:t>The patient’s clinical condition deteriorates such that the primary care prescriber feels a dose change is required/ the patient no longer appears to be benefiting from therapy.</w:t>
            </w:r>
          </w:p>
          <w:p w14:paraId="3634BE8A" w14:textId="5D969788" w:rsidR="005B66AB" w:rsidRPr="00F321FC" w:rsidRDefault="005B66AB" w:rsidP="00FB404F">
            <w:pPr>
              <w:rPr>
                <w:rFonts w:cs="Arial"/>
              </w:rPr>
            </w:pPr>
          </w:p>
        </w:tc>
      </w:tr>
      <w:tr w:rsidR="00767B99" w:rsidRPr="00F321FC" w14:paraId="5BFC9044" w14:textId="77777777" w:rsidTr="00BF174A">
        <w:tc>
          <w:tcPr>
            <w:tcW w:w="2268" w:type="dxa"/>
          </w:tcPr>
          <w:p w14:paraId="2578110D" w14:textId="586DDC3D" w:rsidR="00767B99" w:rsidRPr="00F321FC" w:rsidRDefault="00767B99" w:rsidP="00767B99">
            <w:pPr>
              <w:pStyle w:val="Heading2"/>
              <w:rPr>
                <w:rFonts w:cs="Arial"/>
              </w:rPr>
            </w:pPr>
            <w:bookmarkStart w:id="29" w:name="sixteen_read_with"/>
            <w:bookmarkStart w:id="30" w:name="_Toc149231800"/>
            <w:r w:rsidRPr="00F321FC">
              <w:rPr>
                <w:rFonts w:cs="Arial"/>
              </w:rPr>
              <w:lastRenderedPageBreak/>
              <w:t>To be read in conjunction with the following documents</w:t>
            </w:r>
            <w:bookmarkEnd w:id="29"/>
            <w:bookmarkEnd w:id="30"/>
          </w:p>
        </w:tc>
        <w:tc>
          <w:tcPr>
            <w:tcW w:w="8193" w:type="dxa"/>
          </w:tcPr>
          <w:p w14:paraId="1D359FBA" w14:textId="4F95F50C" w:rsidR="00FB404F" w:rsidRPr="00FB404F" w:rsidRDefault="00FB404F" w:rsidP="00E00135">
            <w:pPr>
              <w:pStyle w:val="ListParagraph"/>
              <w:numPr>
                <w:ilvl w:val="0"/>
                <w:numId w:val="3"/>
              </w:numPr>
              <w:ind w:left="357" w:hanging="357"/>
              <w:rPr>
                <w:rFonts w:eastAsia="Times New Roman" w:cs="Arial"/>
                <w:lang w:eastAsia="en-GB"/>
              </w:rPr>
            </w:pPr>
            <w:r w:rsidRPr="00FB404F">
              <w:rPr>
                <w:rFonts w:eastAsia="Times New Roman" w:cs="Arial"/>
                <w:lang w:eastAsia="en-GB"/>
              </w:rPr>
              <w:t xml:space="preserve">Shared Care for Medicines Guidance – A Standard Approach (RMOC). </w:t>
            </w:r>
            <w:r w:rsidR="00357272" w:rsidRPr="00357272">
              <w:rPr>
                <w:rFonts w:eastAsia="Times New Roman" w:cs="Arial"/>
                <w:lang w:eastAsia="en-GB"/>
              </w:rPr>
              <w:t>Copy</w:t>
            </w:r>
            <w:r w:rsidR="009555DC">
              <w:rPr>
                <w:rFonts w:eastAsia="Times New Roman" w:cs="Arial"/>
                <w:lang w:eastAsia="en-GB"/>
              </w:rPr>
              <w:t xml:space="preserve"> available on request.</w:t>
            </w:r>
            <w:r w:rsidRPr="00FB404F">
              <w:rPr>
                <w:rFonts w:eastAsia="Times New Roman" w:cs="Arial"/>
                <w:lang w:eastAsia="en-GB"/>
              </w:rPr>
              <w:t xml:space="preserve"> </w:t>
            </w:r>
          </w:p>
          <w:p w14:paraId="2D3D56F2" w14:textId="77777777" w:rsidR="00FB404F" w:rsidRPr="00FB404F" w:rsidRDefault="00FB404F" w:rsidP="00E00135">
            <w:pPr>
              <w:pStyle w:val="ListParagraph"/>
              <w:numPr>
                <w:ilvl w:val="0"/>
                <w:numId w:val="3"/>
              </w:numPr>
              <w:ind w:left="357" w:hanging="357"/>
              <w:rPr>
                <w:rFonts w:eastAsia="Times New Roman" w:cs="Arial"/>
                <w:lang w:eastAsia="en-GB"/>
              </w:rPr>
            </w:pPr>
            <w:r w:rsidRPr="00FB404F">
              <w:rPr>
                <w:rFonts w:eastAsia="Times New Roman" w:cs="Arial"/>
                <w:lang w:eastAsia="en-GB"/>
              </w:rPr>
              <w:t xml:space="preserve">NHSE guidance – </w:t>
            </w:r>
            <w:r w:rsidRPr="00FB404F">
              <w:rPr>
                <w:rFonts w:cs="Arial"/>
              </w:rPr>
              <w:t xml:space="preserve">Responsibility for prescribing between primary &amp; secondary/tertiary care. Available from </w:t>
            </w:r>
            <w:hyperlink r:id="rId17" w:history="1">
              <w:r w:rsidRPr="00FB404F">
                <w:rPr>
                  <w:rStyle w:val="Hyperlink"/>
                  <w:rFonts w:cs="Arial"/>
                </w:rPr>
                <w:t>https://www.england.nhs.uk/publication/responsibility-for-prescribing-between-primary-and-secondary-tertiary-care/</w:t>
              </w:r>
            </w:hyperlink>
            <w:r w:rsidRPr="00FB404F">
              <w:rPr>
                <w:rFonts w:cs="Arial"/>
              </w:rPr>
              <w:t xml:space="preserve"> </w:t>
            </w:r>
          </w:p>
          <w:p w14:paraId="253D5A7B" w14:textId="77777777" w:rsidR="00FB404F" w:rsidRPr="00FB404F" w:rsidRDefault="00FB404F" w:rsidP="00E00135">
            <w:pPr>
              <w:pStyle w:val="ListParagraph"/>
              <w:numPr>
                <w:ilvl w:val="0"/>
                <w:numId w:val="3"/>
              </w:numPr>
              <w:ind w:left="357" w:hanging="357"/>
              <w:rPr>
                <w:rFonts w:eastAsia="Times New Roman" w:cs="Arial"/>
                <w:lang w:eastAsia="en-GB"/>
              </w:rPr>
            </w:pPr>
            <w:r w:rsidRPr="00FB404F">
              <w:rPr>
                <w:rFonts w:eastAsia="Times New Roman" w:cs="Arial"/>
                <w:lang w:eastAsia="en-GB"/>
              </w:rPr>
              <w:t xml:space="preserve">General Medical Council. Good practice in prescribing and managing medicines and devices. Shared care. Available from </w:t>
            </w:r>
            <w:hyperlink r:id="rId18" w:history="1">
              <w:r w:rsidRPr="00FB404F">
                <w:rPr>
                  <w:rStyle w:val="Hyperlink"/>
                  <w:rFonts w:eastAsia="Times New Roman" w:cs="Arial"/>
                  <w:lang w:eastAsia="en-GB"/>
                </w:rPr>
                <w:t>https://www.gmc-uk.org/ethical-guidance/ethical-guidance-for-doctors/good-practice-in-prescribing-and-managing-medicines-and-devices/shared-care</w:t>
              </w:r>
            </w:hyperlink>
            <w:r w:rsidRPr="00FB404F">
              <w:rPr>
                <w:rFonts w:eastAsia="Times New Roman" w:cs="Arial"/>
                <w:lang w:eastAsia="en-GB"/>
              </w:rPr>
              <w:t xml:space="preserve"> </w:t>
            </w:r>
          </w:p>
          <w:p w14:paraId="0A32DAB2" w14:textId="2239638A" w:rsidR="00767B99" w:rsidRPr="00FB404F" w:rsidRDefault="00FB404F" w:rsidP="00FB404F">
            <w:pPr>
              <w:pStyle w:val="References"/>
              <w:spacing w:after="60"/>
              <w:rPr>
                <w:rFonts w:cs="Arial"/>
              </w:rPr>
            </w:pPr>
            <w:r w:rsidRPr="00FB404F">
              <w:rPr>
                <w:rFonts w:eastAsia="Times New Roman" w:cs="Arial"/>
                <w:lang w:eastAsia="en-GB"/>
              </w:rPr>
              <w:t xml:space="preserve">NICE NG197: Shared decision making. Last updated </w:t>
            </w:r>
            <w:r w:rsidR="00357272">
              <w:rPr>
                <w:rFonts w:eastAsia="Times New Roman" w:cs="Arial"/>
                <w:lang w:eastAsia="en-GB"/>
              </w:rPr>
              <w:t>October</w:t>
            </w:r>
            <w:r w:rsidR="00357272" w:rsidRPr="00FB404F">
              <w:rPr>
                <w:rFonts w:eastAsia="Times New Roman" w:cs="Arial"/>
                <w:lang w:eastAsia="en-GB"/>
              </w:rPr>
              <w:t xml:space="preserve"> </w:t>
            </w:r>
            <w:r w:rsidRPr="00FB404F">
              <w:rPr>
                <w:rFonts w:eastAsia="Times New Roman" w:cs="Arial"/>
                <w:lang w:eastAsia="en-GB"/>
              </w:rPr>
              <w:t xml:space="preserve">2021. </w:t>
            </w:r>
            <w:hyperlink r:id="rId19" w:history="1">
              <w:r w:rsidRPr="00FB404F">
                <w:rPr>
                  <w:rStyle w:val="Hyperlink"/>
                  <w:rFonts w:eastAsia="Times New Roman" w:cs="Arial"/>
                  <w:lang w:eastAsia="en-GB"/>
                </w:rPr>
                <w:t>https://www.nice.org.uk/guidance/ng197/</w:t>
              </w:r>
            </w:hyperlink>
            <w:r w:rsidRPr="00FB404F">
              <w:rPr>
                <w:rFonts w:eastAsia="Times New Roman" w:cs="Arial"/>
                <w:lang w:eastAsia="en-GB"/>
              </w:rPr>
              <w:t>.</w:t>
            </w:r>
          </w:p>
        </w:tc>
      </w:tr>
      <w:tr w:rsidR="0016513F" w:rsidRPr="00F321FC" w14:paraId="59453C3B" w14:textId="77777777" w:rsidTr="00BF174A">
        <w:tc>
          <w:tcPr>
            <w:tcW w:w="2268" w:type="dxa"/>
          </w:tcPr>
          <w:p w14:paraId="091A2985" w14:textId="3197A976" w:rsidR="0016513F" w:rsidRPr="00F321FC" w:rsidRDefault="0016513F" w:rsidP="00767B99">
            <w:pPr>
              <w:pStyle w:val="Heading2"/>
              <w:rPr>
                <w:rFonts w:cs="Arial"/>
              </w:rPr>
            </w:pPr>
            <w:bookmarkStart w:id="31" w:name="fifteen_references"/>
            <w:bookmarkStart w:id="32" w:name="_Toc149231799"/>
            <w:r w:rsidRPr="00F321FC">
              <w:rPr>
                <w:rFonts w:cs="Arial"/>
              </w:rPr>
              <w:t>References</w:t>
            </w:r>
            <w:bookmarkEnd w:id="31"/>
            <w:bookmarkEnd w:id="32"/>
          </w:p>
        </w:tc>
        <w:tc>
          <w:tcPr>
            <w:tcW w:w="8193" w:type="dxa"/>
          </w:tcPr>
          <w:p w14:paraId="5AC3BEC3"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1.</w:t>
            </w:r>
            <w:r w:rsidRPr="00F42E9B">
              <w:rPr>
                <w:rFonts w:eastAsia="Times New Roman" w:cs="Arial"/>
                <w:lang w:eastAsia="en-GB"/>
              </w:rPr>
              <w:tab/>
              <w:t>Denosumab for the prevention of osteoporotic fractures in post-menopausal women, (October 2010), National Institute for Health and Care Excellence (Technology Appraisal 204).</w:t>
            </w:r>
          </w:p>
          <w:p w14:paraId="227A2186" w14:textId="1777D954"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2.</w:t>
            </w:r>
            <w:r w:rsidRPr="00F42E9B">
              <w:rPr>
                <w:rFonts w:eastAsia="Times New Roman" w:cs="Arial"/>
                <w:lang w:eastAsia="en-GB"/>
              </w:rPr>
              <w:tab/>
              <w:t xml:space="preserve">Summary of Product Characteristics for Prolia® (Denosumab). last updated </w:t>
            </w:r>
            <w:r w:rsidR="00357272">
              <w:rPr>
                <w:rFonts w:eastAsia="Times New Roman" w:cs="Arial"/>
                <w:lang w:eastAsia="en-GB"/>
              </w:rPr>
              <w:t>03 March 2025</w:t>
            </w:r>
            <w:r w:rsidRPr="00F42E9B">
              <w:rPr>
                <w:rFonts w:eastAsia="Times New Roman" w:cs="Arial"/>
                <w:lang w:eastAsia="en-GB"/>
              </w:rPr>
              <w:t xml:space="preserve">. Available on </w:t>
            </w:r>
            <w:r w:rsidR="00357272">
              <w:rPr>
                <w:rFonts w:eastAsia="Times New Roman" w:cs="Arial"/>
                <w:lang w:eastAsia="en-GB"/>
              </w:rPr>
              <w:t>www</w:t>
            </w:r>
            <w:r w:rsidRPr="00F42E9B">
              <w:rPr>
                <w:rFonts w:eastAsia="Times New Roman" w:cs="Arial"/>
                <w:lang w:eastAsia="en-GB"/>
              </w:rPr>
              <w:t>.medicines.org.uk/emc [Accessed 2</w:t>
            </w:r>
            <w:r w:rsidR="00357272">
              <w:rPr>
                <w:rFonts w:eastAsia="Times New Roman" w:cs="Arial"/>
                <w:lang w:eastAsia="en-GB"/>
              </w:rPr>
              <w:t>9</w:t>
            </w:r>
            <w:r w:rsidRPr="00F42E9B">
              <w:rPr>
                <w:rFonts w:eastAsia="Times New Roman" w:cs="Arial"/>
                <w:lang w:eastAsia="en-GB"/>
              </w:rPr>
              <w:t>/0</w:t>
            </w:r>
            <w:r w:rsidR="00357272">
              <w:rPr>
                <w:rFonts w:eastAsia="Times New Roman" w:cs="Arial"/>
                <w:lang w:eastAsia="en-GB"/>
              </w:rPr>
              <w:t>4</w:t>
            </w:r>
            <w:r w:rsidRPr="00F42E9B">
              <w:rPr>
                <w:rFonts w:eastAsia="Times New Roman" w:cs="Arial"/>
                <w:lang w:eastAsia="en-GB"/>
              </w:rPr>
              <w:t>/20</w:t>
            </w:r>
            <w:r w:rsidR="00357272">
              <w:rPr>
                <w:rFonts w:eastAsia="Times New Roman" w:cs="Arial"/>
                <w:lang w:eastAsia="en-GB"/>
              </w:rPr>
              <w:t>25</w:t>
            </w:r>
            <w:r w:rsidRPr="00F42E9B">
              <w:rPr>
                <w:rFonts w:eastAsia="Times New Roman" w:cs="Arial"/>
                <w:lang w:eastAsia="en-GB"/>
              </w:rPr>
              <w:t>].</w:t>
            </w:r>
          </w:p>
          <w:p w14:paraId="4264CD9F"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3.</w:t>
            </w:r>
            <w:r w:rsidRPr="00F42E9B">
              <w:rPr>
                <w:rFonts w:eastAsia="Times New Roman" w:cs="Arial"/>
                <w:lang w:eastAsia="en-GB"/>
              </w:rPr>
              <w:tab/>
            </w:r>
            <w:proofErr w:type="spellStart"/>
            <w:r w:rsidRPr="00F42E9B">
              <w:rPr>
                <w:rFonts w:eastAsia="Times New Roman" w:cs="Arial"/>
                <w:lang w:eastAsia="en-GB"/>
              </w:rPr>
              <w:t>Papapoulos</w:t>
            </w:r>
            <w:proofErr w:type="spellEnd"/>
            <w:r w:rsidRPr="00F42E9B">
              <w:rPr>
                <w:rFonts w:eastAsia="Times New Roman" w:cs="Arial"/>
                <w:lang w:eastAsia="en-GB"/>
              </w:rPr>
              <w:t xml:space="preserve"> S, </w:t>
            </w:r>
            <w:proofErr w:type="spellStart"/>
            <w:r w:rsidRPr="00F42E9B">
              <w:rPr>
                <w:rFonts w:eastAsia="Times New Roman" w:cs="Arial"/>
                <w:lang w:eastAsia="en-GB"/>
              </w:rPr>
              <w:t>Chapurlat</w:t>
            </w:r>
            <w:proofErr w:type="spellEnd"/>
            <w:r w:rsidRPr="00F42E9B">
              <w:rPr>
                <w:rFonts w:eastAsia="Times New Roman" w:cs="Arial"/>
                <w:lang w:eastAsia="en-GB"/>
              </w:rPr>
              <w:t xml:space="preserve"> R, </w:t>
            </w:r>
            <w:proofErr w:type="spellStart"/>
            <w:r w:rsidRPr="00F42E9B">
              <w:rPr>
                <w:rFonts w:eastAsia="Times New Roman" w:cs="Arial"/>
                <w:lang w:eastAsia="en-GB"/>
              </w:rPr>
              <w:t>Libanati</w:t>
            </w:r>
            <w:proofErr w:type="spellEnd"/>
            <w:r w:rsidRPr="00F42E9B">
              <w:rPr>
                <w:rFonts w:eastAsia="Times New Roman" w:cs="Arial"/>
                <w:lang w:eastAsia="en-GB"/>
              </w:rPr>
              <w:t xml:space="preserve"> C et al. Five years of denosumab exposure in women with postmenopausal osteoporosis: Results from the first two years of the FREEDOM extension. J Bone Miner Res. 2012 Mar;27(3):694-701.</w:t>
            </w:r>
          </w:p>
          <w:p w14:paraId="30313297"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4.</w:t>
            </w:r>
            <w:r w:rsidRPr="00F42E9B">
              <w:rPr>
                <w:rFonts w:eastAsia="Times New Roman" w:cs="Arial"/>
                <w:lang w:eastAsia="en-GB"/>
              </w:rPr>
              <w:tab/>
              <w:t>Cummings SR, San Martin J, McClung MR et al. Denosumab for prevention of fractures in postmenopausal women with osteoporosis. N Engl J Med. 2009 Aug 20;361(8):756-65.</w:t>
            </w:r>
          </w:p>
          <w:p w14:paraId="6A6E9EEC"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5.</w:t>
            </w:r>
            <w:r w:rsidRPr="00F42E9B">
              <w:rPr>
                <w:rFonts w:eastAsia="Times New Roman" w:cs="Arial"/>
                <w:lang w:eastAsia="en-GB"/>
              </w:rPr>
              <w:tab/>
              <w:t xml:space="preserve">Watts NB, Roux C, Modlin JF, et al. Infections in postmenopausal women with osteoporosis treated with denosumab or placebo: coincidence or causal association? </w:t>
            </w:r>
            <w:proofErr w:type="spellStart"/>
            <w:r w:rsidRPr="00F42E9B">
              <w:rPr>
                <w:rFonts w:eastAsia="Times New Roman" w:cs="Arial"/>
                <w:lang w:eastAsia="en-GB"/>
              </w:rPr>
              <w:t>Osteoporos</w:t>
            </w:r>
            <w:proofErr w:type="spellEnd"/>
            <w:r w:rsidRPr="00F42E9B">
              <w:rPr>
                <w:rFonts w:eastAsia="Times New Roman" w:cs="Arial"/>
                <w:lang w:eastAsia="en-GB"/>
              </w:rPr>
              <w:t xml:space="preserve"> Int. 2012 Jan;23(1):327-37.</w:t>
            </w:r>
          </w:p>
          <w:p w14:paraId="30D3BC4C"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6.</w:t>
            </w:r>
            <w:r w:rsidRPr="00F42E9B">
              <w:rPr>
                <w:rFonts w:eastAsia="Times New Roman" w:cs="Arial"/>
                <w:lang w:eastAsia="en-GB"/>
              </w:rPr>
              <w:tab/>
              <w:t>MHRA Drug safety update. October 2012. http://www.mhra.gov.uk/Safetyinformation/DrugSafetyUpdate/CON199560</w:t>
            </w:r>
          </w:p>
          <w:p w14:paraId="45EB6D0D"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7.</w:t>
            </w:r>
            <w:r w:rsidRPr="00F42E9B">
              <w:rPr>
                <w:rFonts w:eastAsia="Times New Roman" w:cs="Arial"/>
                <w:lang w:eastAsia="en-GB"/>
              </w:rPr>
              <w:tab/>
              <w:t>Bone HG, Wagman RB, Brandi ML et al. 10 years of denosumab treatment in postmenopausal women with osteoporosis: results from the phase 3 randomised FREEDOM trial and open-label extension. Lancet Diabetes Endocrinol. 2017 Jul;5(7):513-523.</w:t>
            </w:r>
          </w:p>
          <w:p w14:paraId="73C36376"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8.</w:t>
            </w:r>
            <w:r w:rsidRPr="00F42E9B">
              <w:rPr>
                <w:rFonts w:eastAsia="Times New Roman" w:cs="Arial"/>
                <w:lang w:eastAsia="en-GB"/>
              </w:rPr>
              <w:tab/>
              <w:t>Cummings S et al, Vertebral Fractures after discontinuation of Denosumab. A post hoc analysis of the randomized placebo controlled FRREDOM trial and its extension. JBMR 2017, 33 (2) 190-198.</w:t>
            </w:r>
          </w:p>
          <w:p w14:paraId="29CB9A9B"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9.</w:t>
            </w:r>
            <w:r w:rsidRPr="00F42E9B">
              <w:rPr>
                <w:rFonts w:eastAsia="Times New Roman" w:cs="Arial"/>
                <w:lang w:eastAsia="en-GB"/>
              </w:rPr>
              <w:tab/>
              <w:t xml:space="preserve">McClung MR, Wagman RB, Miller PD et al. Observations following discontinuation of long-term denosumab therapy. </w:t>
            </w:r>
            <w:proofErr w:type="spellStart"/>
            <w:r w:rsidRPr="00F42E9B">
              <w:rPr>
                <w:rFonts w:eastAsia="Times New Roman" w:cs="Arial"/>
                <w:lang w:eastAsia="en-GB"/>
              </w:rPr>
              <w:t>Osteoporos</w:t>
            </w:r>
            <w:proofErr w:type="spellEnd"/>
            <w:r w:rsidRPr="00F42E9B">
              <w:rPr>
                <w:rFonts w:eastAsia="Times New Roman" w:cs="Arial"/>
                <w:lang w:eastAsia="en-GB"/>
              </w:rPr>
              <w:t xml:space="preserve"> Int. 2017 May;28(5):1723-1732</w:t>
            </w:r>
          </w:p>
          <w:p w14:paraId="02F70627"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lastRenderedPageBreak/>
              <w:t>10.</w:t>
            </w:r>
            <w:r w:rsidRPr="00F42E9B">
              <w:rPr>
                <w:rFonts w:eastAsia="Times New Roman" w:cs="Arial"/>
                <w:lang w:eastAsia="en-GB"/>
              </w:rPr>
              <w:tab/>
            </w:r>
            <w:proofErr w:type="spellStart"/>
            <w:r w:rsidRPr="00F42E9B">
              <w:rPr>
                <w:rFonts w:eastAsia="Times New Roman" w:cs="Arial"/>
                <w:lang w:eastAsia="en-GB"/>
              </w:rPr>
              <w:t>Tsourdi</w:t>
            </w:r>
            <w:proofErr w:type="spellEnd"/>
            <w:r w:rsidRPr="00F42E9B">
              <w:rPr>
                <w:rFonts w:eastAsia="Times New Roman" w:cs="Arial"/>
                <w:lang w:eastAsia="en-GB"/>
              </w:rPr>
              <w:t xml:space="preserve"> E, Langdahl B, Cohen-Solal M et al. Discontinuation of Denosumab therapy for osteoporosis: A systematic review and position statement by ECTS. Bone. 2017 Dec; 105:11-17</w:t>
            </w:r>
          </w:p>
          <w:p w14:paraId="59B3B17A"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11.</w:t>
            </w:r>
            <w:r w:rsidRPr="00F42E9B">
              <w:rPr>
                <w:rFonts w:eastAsia="Times New Roman" w:cs="Arial"/>
                <w:lang w:eastAsia="en-GB"/>
              </w:rPr>
              <w:tab/>
              <w:t>MHRA/CHM advice August 2020: Denosumab 60 mg (Prolia®): increased risk of multiple vertebral fractures after stopping or delaying ongoing treatment. 2020 https://www.gov.uk/drug-safety- update/denosumab-60mg-prolia-increased-risk-of-multiple-vertebral-fractures-after-stopping-or- delaying-ongoing-treatment</w:t>
            </w:r>
          </w:p>
          <w:p w14:paraId="5DAC6EB6" w14:textId="77777777" w:rsidR="00F42E9B" w:rsidRPr="00F42E9B" w:rsidRDefault="00F42E9B" w:rsidP="00F42E9B">
            <w:pPr>
              <w:pStyle w:val="ListParagraph"/>
              <w:ind w:left="357"/>
              <w:rPr>
                <w:rFonts w:eastAsia="Times New Roman" w:cs="Arial"/>
                <w:lang w:eastAsia="en-GB"/>
              </w:rPr>
            </w:pPr>
            <w:r w:rsidRPr="00F42E9B">
              <w:rPr>
                <w:rFonts w:eastAsia="Times New Roman" w:cs="Arial"/>
                <w:lang w:eastAsia="en-GB"/>
              </w:rPr>
              <w:t>12.</w:t>
            </w:r>
            <w:r w:rsidRPr="00F42E9B">
              <w:rPr>
                <w:rFonts w:eastAsia="Times New Roman" w:cs="Arial"/>
                <w:lang w:eastAsia="en-GB"/>
              </w:rPr>
              <w:tab/>
              <w:t>MHRA advice June 2017 Denosumab Prolia® osteonecrosis of the external auditory canal. https://www.gov.uk/drug-safety-update/denosumab-prolia-xgeva-reports-of-osteonecrosis-of-the- external-auditory-canal</w:t>
            </w:r>
          </w:p>
          <w:p w14:paraId="4BB77D0D" w14:textId="59877D2E" w:rsidR="0016513F" w:rsidRPr="00FB404F" w:rsidRDefault="00F42E9B" w:rsidP="00F42E9B">
            <w:pPr>
              <w:pStyle w:val="ListParagraph"/>
              <w:ind w:left="357"/>
              <w:rPr>
                <w:rFonts w:eastAsia="Times New Roman" w:cs="Arial"/>
                <w:lang w:eastAsia="en-GB"/>
              </w:rPr>
            </w:pPr>
            <w:r w:rsidRPr="00F42E9B">
              <w:rPr>
                <w:rFonts w:eastAsia="Times New Roman" w:cs="Arial"/>
                <w:lang w:eastAsia="en-GB"/>
              </w:rPr>
              <w:t>13.</w:t>
            </w:r>
            <w:r w:rsidRPr="00F42E9B">
              <w:rPr>
                <w:rFonts w:eastAsia="Times New Roman" w:cs="Arial"/>
                <w:lang w:eastAsia="en-GB"/>
              </w:rPr>
              <w:tab/>
              <w:t>Royal Osteoporosis Society Denosumab Patient Information: https://theros.org.uk/information-and- support/osteoporosis/treatment/denosumab/ and fact sheet: https://strwebstgmedia.blob.core.windows.net/media/sxif4dxc/denosumab-prolia-fact-sheet- octobe-2017.pdf</w:t>
            </w:r>
            <w:r w:rsidR="00F90DA7">
              <w:rPr>
                <w:rFonts w:eastAsia="Times New Roman" w:cs="Arial"/>
                <w:lang w:eastAsia="en-GB"/>
              </w:rPr>
              <w:t xml:space="preserve"> Updated Oct 2023</w:t>
            </w:r>
          </w:p>
        </w:tc>
      </w:tr>
    </w:tbl>
    <w:p w14:paraId="542C2C02" w14:textId="77777777" w:rsidR="00854C79" w:rsidRPr="00C72861" w:rsidRDefault="00854C79" w:rsidP="00C72861"/>
    <w:p w14:paraId="2429900C" w14:textId="0BBD9C63" w:rsidR="00DA56BA" w:rsidRDefault="008E2B62" w:rsidP="00F64ED9">
      <w:pPr>
        <w:spacing w:before="0" w:after="160"/>
        <w:rPr>
          <w:rFonts w:ascii="Calibri" w:eastAsia="Calibri" w:hAnsi="Calibri" w:cs="Calibri"/>
          <w:b/>
          <w:bCs/>
          <w:sz w:val="28"/>
        </w:rPr>
      </w:pPr>
      <w:r>
        <w:br w:type="page"/>
      </w:r>
      <w:r w:rsidR="00F64ED9">
        <w:rPr>
          <w:rFonts w:ascii="Calibri" w:eastAsia="Calibri" w:hAnsi="Calibri" w:cs="Calibri"/>
          <w:b/>
          <w:bCs/>
          <w:sz w:val="28"/>
        </w:rPr>
        <w:lastRenderedPageBreak/>
        <w:t xml:space="preserve"> </w:t>
      </w:r>
      <w:r w:rsidR="00DA56BA">
        <w:rPr>
          <w:rFonts w:ascii="Calibri" w:eastAsia="Calibri" w:hAnsi="Calibri" w:cs="Calibri"/>
          <w:b/>
          <w:bCs/>
          <w:sz w:val="28"/>
        </w:rPr>
        <w:t xml:space="preserve">Appendix </w:t>
      </w:r>
      <w:r w:rsidR="00F64ED9">
        <w:rPr>
          <w:rFonts w:ascii="Calibri" w:eastAsia="Calibri" w:hAnsi="Calibri" w:cs="Calibri"/>
          <w:b/>
          <w:bCs/>
          <w:sz w:val="28"/>
        </w:rPr>
        <w:t>1</w:t>
      </w:r>
      <w:r w:rsidR="00DA56BA">
        <w:rPr>
          <w:rFonts w:ascii="Calibri" w:eastAsia="Calibri" w:hAnsi="Calibri" w:cs="Calibri"/>
          <w:b/>
          <w:bCs/>
          <w:sz w:val="28"/>
        </w:rPr>
        <w:t>: Royal Osteoporosis Society Leaflet for patients on Denosumab</w:t>
      </w:r>
    </w:p>
    <w:p w14:paraId="0AD270FF" w14:textId="1BEC7C86" w:rsidR="00DF2B32" w:rsidRDefault="00DF2B32" w:rsidP="008E2B62">
      <w:pPr>
        <w:spacing w:before="0" w:after="200" w:line="276" w:lineRule="auto"/>
        <w:outlineLvl w:val="0"/>
        <w:rPr>
          <w:rFonts w:ascii="Calibri" w:eastAsia="Calibri" w:hAnsi="Calibri" w:cs="Calibri"/>
          <w:b/>
          <w:bCs/>
          <w:sz w:val="28"/>
        </w:rPr>
      </w:pPr>
      <w:r>
        <w:rPr>
          <w:rFonts w:ascii="Calibri" w:eastAsia="Calibri" w:hAnsi="Calibri" w:cs="Calibri"/>
          <w:b/>
          <w:bCs/>
          <w:sz w:val="28"/>
        </w:rPr>
        <w:t>ROS patient information page on Denosumab:</w:t>
      </w:r>
    </w:p>
    <w:p w14:paraId="5CAB2B47" w14:textId="27258D27" w:rsidR="00DF2B32" w:rsidRDefault="00DF2B32" w:rsidP="008E2B62">
      <w:pPr>
        <w:spacing w:before="0" w:after="200" w:line="276" w:lineRule="auto"/>
        <w:outlineLvl w:val="0"/>
        <w:rPr>
          <w:rFonts w:ascii="Calibri" w:eastAsia="Calibri" w:hAnsi="Calibri" w:cs="Calibri"/>
          <w:b/>
          <w:bCs/>
          <w:sz w:val="28"/>
        </w:rPr>
      </w:pPr>
      <w:hyperlink r:id="rId20" w:history="1">
        <w:r w:rsidRPr="00D07F9B">
          <w:rPr>
            <w:rStyle w:val="Hyperlink"/>
            <w:rFonts w:ascii="Calibri" w:eastAsia="Calibri" w:hAnsi="Calibri" w:cs="Calibri"/>
            <w:b/>
            <w:bCs/>
            <w:sz w:val="28"/>
          </w:rPr>
          <w:t>https://theros.org.uk/information-and-support/osteoporosis/treatment/denosumab/</w:t>
        </w:r>
      </w:hyperlink>
    </w:p>
    <w:p w14:paraId="51DDEF78" w14:textId="77777777" w:rsidR="00DF2B32" w:rsidRDefault="00DF2B32" w:rsidP="008E2B62">
      <w:pPr>
        <w:spacing w:before="0" w:after="200" w:line="276" w:lineRule="auto"/>
        <w:outlineLvl w:val="0"/>
        <w:rPr>
          <w:rFonts w:ascii="Calibri" w:eastAsia="Calibri" w:hAnsi="Calibri" w:cs="Calibri"/>
          <w:b/>
          <w:bCs/>
          <w:sz w:val="28"/>
        </w:rPr>
      </w:pPr>
    </w:p>
    <w:p w14:paraId="05A59794" w14:textId="25471DFA" w:rsidR="00DF2B32" w:rsidRDefault="00DF2B32" w:rsidP="008E2B62">
      <w:pPr>
        <w:spacing w:before="0" w:after="200" w:line="276" w:lineRule="auto"/>
        <w:outlineLvl w:val="0"/>
        <w:rPr>
          <w:rFonts w:ascii="Calibri" w:eastAsia="Calibri" w:hAnsi="Calibri" w:cs="Calibri"/>
          <w:b/>
          <w:bCs/>
          <w:sz w:val="28"/>
        </w:rPr>
      </w:pPr>
      <w:r>
        <w:rPr>
          <w:rFonts w:ascii="Calibri" w:eastAsia="Calibri" w:hAnsi="Calibri" w:cs="Calibri"/>
          <w:b/>
          <w:bCs/>
          <w:sz w:val="28"/>
        </w:rPr>
        <w:t xml:space="preserve">Current version of </w:t>
      </w:r>
      <w:proofErr w:type="gramStart"/>
      <w:r>
        <w:rPr>
          <w:rFonts w:ascii="Calibri" w:eastAsia="Calibri" w:hAnsi="Calibri" w:cs="Calibri"/>
          <w:b/>
          <w:bCs/>
          <w:sz w:val="28"/>
        </w:rPr>
        <w:t>Patient</w:t>
      </w:r>
      <w:proofErr w:type="gramEnd"/>
      <w:r>
        <w:rPr>
          <w:rFonts w:ascii="Calibri" w:eastAsia="Calibri" w:hAnsi="Calibri" w:cs="Calibri"/>
          <w:b/>
          <w:bCs/>
          <w:sz w:val="28"/>
        </w:rPr>
        <w:t xml:space="preserve"> information leaflet can be found at</w:t>
      </w:r>
    </w:p>
    <w:p w14:paraId="513AD643" w14:textId="4CBC0D5E" w:rsidR="00DA56BA" w:rsidRDefault="00DF2B32" w:rsidP="00DF2B32">
      <w:pPr>
        <w:spacing w:before="0" w:after="200" w:line="276" w:lineRule="auto"/>
        <w:outlineLvl w:val="0"/>
        <w:rPr>
          <w:rFonts w:ascii="Calibri" w:eastAsia="Calibri" w:hAnsi="Calibri" w:cs="Calibri"/>
          <w:b/>
          <w:bCs/>
          <w:sz w:val="28"/>
        </w:rPr>
      </w:pPr>
      <w:hyperlink r:id="rId21" w:history="1">
        <w:r w:rsidRPr="00D07F9B">
          <w:rPr>
            <w:rStyle w:val="Hyperlink"/>
            <w:rFonts w:ascii="Calibri" w:eastAsia="Calibri" w:hAnsi="Calibri" w:cs="Calibri"/>
            <w:b/>
            <w:bCs/>
            <w:sz w:val="28"/>
          </w:rPr>
          <w:t>https://strwebprdmedia.blob.core.windows.net/media/hijjivbe/drug-treatments-for-osteoporosis-denosumab.pdf</w:t>
        </w:r>
      </w:hyperlink>
      <w:r w:rsidR="00DA56BA">
        <w:rPr>
          <w:rFonts w:ascii="Calibri" w:eastAsia="Calibri" w:hAnsi="Calibri" w:cs="Calibri"/>
          <w:b/>
          <w:bCs/>
          <w:sz w:val="28"/>
        </w:rPr>
        <w:br w:type="page"/>
      </w:r>
    </w:p>
    <w:p w14:paraId="1E9EFF4A" w14:textId="237FD637" w:rsidR="008E2B62" w:rsidRPr="008E2B62" w:rsidRDefault="008E2B62" w:rsidP="008E2B62">
      <w:pPr>
        <w:spacing w:before="0" w:after="200" w:line="276" w:lineRule="auto"/>
        <w:outlineLvl w:val="0"/>
        <w:rPr>
          <w:rFonts w:ascii="Calibri" w:eastAsia="Calibri" w:hAnsi="Calibri" w:cs="Calibri"/>
          <w:b/>
          <w:bCs/>
          <w:sz w:val="28"/>
        </w:rPr>
      </w:pPr>
      <w:r w:rsidRPr="008E2B62">
        <w:rPr>
          <w:rFonts w:ascii="Calibri" w:eastAsia="Calibri" w:hAnsi="Calibri" w:cs="Calibri"/>
          <w:b/>
          <w:bCs/>
          <w:sz w:val="28"/>
        </w:rPr>
        <w:lastRenderedPageBreak/>
        <w:t xml:space="preserve">Appendix </w:t>
      </w:r>
      <w:r w:rsidR="00F64ED9">
        <w:rPr>
          <w:rFonts w:ascii="Calibri" w:eastAsia="Calibri" w:hAnsi="Calibri" w:cs="Calibri"/>
          <w:b/>
          <w:bCs/>
          <w:sz w:val="28"/>
        </w:rPr>
        <w:t>2</w:t>
      </w:r>
      <w:r w:rsidRPr="008E2B62">
        <w:rPr>
          <w:rFonts w:ascii="Calibri" w:eastAsia="Calibri" w:hAnsi="Calibri" w:cs="Calibri"/>
          <w:b/>
          <w:bCs/>
          <w:sz w:val="28"/>
        </w:rPr>
        <w:t>: Shared Care Request letter (Specialist to Primary Care Prescriber)</w:t>
      </w:r>
    </w:p>
    <w:p w14:paraId="54B46DE2"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 xml:space="preserve">Dear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57"/>
            <w:enabled/>
            <w:calcOnExit w:val="0"/>
            <w:textInput>
              <w:default w:val="[insert Primary Care Prescribe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Primary Care Prescriber's name]</w:t>
      </w:r>
      <w:r w:rsidRPr="008E2B62">
        <w:rPr>
          <w:rFonts w:ascii="Calibri" w:eastAsia="Times New Roman" w:hAnsi="Calibri" w:cs="Calibri"/>
          <w:i/>
        </w:rPr>
        <w:fldChar w:fldCharType="end"/>
      </w:r>
    </w:p>
    <w:p w14:paraId="28E85331" w14:textId="77777777" w:rsidR="008E2B62" w:rsidRPr="008E2B62" w:rsidRDefault="008E2B62" w:rsidP="008E2B62">
      <w:pPr>
        <w:spacing w:before="0" w:after="0" w:line="276" w:lineRule="auto"/>
        <w:ind w:left="720"/>
        <w:rPr>
          <w:rFonts w:ascii="Calibri" w:eastAsia="Times New Roman" w:hAnsi="Calibri" w:cs="Calibri"/>
          <w:sz w:val="8"/>
          <w:szCs w:val="8"/>
        </w:rPr>
      </w:pPr>
    </w:p>
    <w:p w14:paraId="73CC3B57"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Patient name:</w:t>
      </w:r>
      <w:r w:rsidRPr="008E2B62">
        <w:rPr>
          <w:rFonts w:ascii="Calibri" w:eastAsia="Times New Roman" w:hAnsi="Calibri" w:cs="Calibri"/>
        </w:rPr>
        <w:tab/>
      </w:r>
      <w:r w:rsidRPr="008E2B62">
        <w:rPr>
          <w:rFonts w:ascii="Calibri" w:eastAsia="Times New Roman" w:hAnsi="Calibri" w:cs="Calibri"/>
          <w:i/>
        </w:rPr>
        <w:fldChar w:fldCharType="begin">
          <w:ffData>
            <w:name w:val="Text58"/>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7D0D6FD0"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Date of birth:</w:t>
      </w:r>
      <w:r w:rsidRPr="008E2B62">
        <w:rPr>
          <w:rFonts w:ascii="Calibri" w:eastAsia="Times New Roman" w:hAnsi="Calibri" w:cs="Calibri"/>
        </w:rPr>
        <w:tab/>
      </w:r>
      <w:r w:rsidRPr="008E2B62">
        <w:rPr>
          <w:rFonts w:ascii="Calibri" w:eastAsia="Times New Roman" w:hAnsi="Calibri" w:cs="Calibri"/>
          <w:i/>
        </w:rPr>
        <w:fldChar w:fldCharType="begin">
          <w:ffData>
            <w:name w:val="Text59"/>
            <w:enabled/>
            <w:calcOnExit w:val="0"/>
            <w:textInput>
              <w:default w:val="[insert date of birth]"/>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date of birth]</w:t>
      </w:r>
      <w:r w:rsidRPr="008E2B62">
        <w:rPr>
          <w:rFonts w:ascii="Calibri" w:eastAsia="Times New Roman" w:hAnsi="Calibri" w:cs="Calibri"/>
          <w:i/>
        </w:rPr>
        <w:fldChar w:fldCharType="end"/>
      </w:r>
    </w:p>
    <w:p w14:paraId="07877E78"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NHS Number</w:t>
      </w:r>
      <w:r w:rsidRPr="008E2B62">
        <w:rPr>
          <w:rFonts w:ascii="Calibri" w:eastAsia="Times New Roman" w:hAnsi="Calibri" w:cs="Calibri"/>
          <w:i/>
        </w:rPr>
        <w:t xml:space="preserve">: </w:t>
      </w:r>
      <w:r w:rsidRPr="008E2B62">
        <w:rPr>
          <w:rFonts w:ascii="Calibri" w:eastAsia="Times New Roman" w:hAnsi="Calibri" w:cs="Calibri"/>
          <w: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740B7777"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Diagnosis:</w:t>
      </w:r>
      <w:r w:rsidRPr="008E2B62">
        <w:rPr>
          <w:rFonts w:ascii="Calibri" w:eastAsia="Times New Roman" w:hAnsi="Calibri" w:cs="Calibri"/>
        </w:rPr>
        <w:tab/>
      </w:r>
      <w:r w:rsidRPr="008E2B62">
        <w:rPr>
          <w:rFonts w:ascii="Calibri" w:eastAsia="Times New Roman" w:hAnsi="Calibri" w:cs="Calibri"/>
          <w:i/>
        </w:rPr>
        <w:fldChar w:fldCharType="begin">
          <w:ffData>
            <w:name w:val="Text60"/>
            <w:enabled/>
            <w:calcOnExit w:val="0"/>
            <w:textInput>
              <w:default w:val="[insert diagnosi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diagnosis]</w:t>
      </w:r>
      <w:r w:rsidRPr="008E2B62">
        <w:rPr>
          <w:rFonts w:ascii="Calibri" w:eastAsia="Times New Roman" w:hAnsi="Calibri" w:cs="Calibri"/>
          <w:i/>
        </w:rPr>
        <w:fldChar w:fldCharType="end"/>
      </w:r>
    </w:p>
    <w:p w14:paraId="76F30112" w14:textId="77777777" w:rsidR="008E2B62" w:rsidRPr="008E2B62" w:rsidRDefault="008E2B62" w:rsidP="008E2B62">
      <w:pPr>
        <w:spacing w:before="0" w:after="0" w:line="276" w:lineRule="auto"/>
        <w:rPr>
          <w:rFonts w:ascii="Calibri" w:eastAsia="Times New Roman" w:hAnsi="Calibri" w:cs="Calibri"/>
          <w:sz w:val="8"/>
          <w:szCs w:val="8"/>
        </w:rPr>
      </w:pPr>
    </w:p>
    <w:p w14:paraId="637CFEA8" w14:textId="08811EB0" w:rsidR="008E2B62" w:rsidRPr="008E2B62" w:rsidRDefault="008E2B62" w:rsidP="008E2B62">
      <w:pPr>
        <w:spacing w:before="0" w:after="0" w:line="240" w:lineRule="auto"/>
        <w:rPr>
          <w:rFonts w:ascii="Calibri" w:eastAsia="Times New Roman" w:hAnsi="Calibri" w:cs="Calibri"/>
          <w:i/>
          <w:iCs/>
        </w:rPr>
      </w:pPr>
      <w:r w:rsidRPr="008E2B62">
        <w:rPr>
          <w:rFonts w:ascii="Calibri" w:eastAsia="Times New Roman" w:hAnsi="Calibri" w:cs="Calibri"/>
        </w:rPr>
        <w:t xml:space="preserve">As per the agreed </w:t>
      </w:r>
      <w:r w:rsidR="00DA56BA" w:rsidRPr="00DA56BA">
        <w:rPr>
          <w:rFonts w:ascii="Calibri" w:eastAsia="Times New Roman" w:hAnsi="Calibri" w:cs="Calibri"/>
          <w:iCs/>
        </w:rPr>
        <w:t>NENC</w:t>
      </w:r>
      <w:r w:rsidR="00DA56BA">
        <w:rPr>
          <w:rFonts w:ascii="Calibri" w:eastAsia="Times New Roman" w:hAnsi="Calibri" w:cs="Calibri"/>
          <w:i/>
        </w:rPr>
        <w:t xml:space="preserve"> </w:t>
      </w:r>
      <w:r w:rsidRPr="008E2B62">
        <w:rPr>
          <w:rFonts w:ascii="Calibri" w:eastAsia="Times New Roman" w:hAnsi="Calibri" w:cs="Calibri"/>
        </w:rPr>
        <w:t xml:space="preserve">shared care protocol for </w:t>
      </w:r>
      <w:r w:rsidR="00DA56BA" w:rsidRPr="00DA56BA">
        <w:rPr>
          <w:rFonts w:ascii="Calibri" w:eastAsia="Times New Roman" w:hAnsi="Calibri" w:cs="Calibri"/>
          <w:iCs/>
        </w:rPr>
        <w:t>Denosumab</w:t>
      </w:r>
      <w:r w:rsidRPr="008E2B62">
        <w:rPr>
          <w:rFonts w:ascii="Calibri" w:eastAsia="Times New Roman" w:hAnsi="Calibri" w:cs="Calibri"/>
        </w:rPr>
        <w:t xml:space="preserve"> for the treatment of </w:t>
      </w:r>
      <w:r w:rsidR="00DA56BA" w:rsidRPr="00DA56BA">
        <w:rPr>
          <w:rFonts w:ascii="Calibri" w:eastAsia="Times New Roman" w:hAnsi="Calibri" w:cs="Calibri"/>
          <w:iCs/>
        </w:rPr>
        <w:t>osteoporosis</w:t>
      </w:r>
      <w:r w:rsidRPr="008E2B62">
        <w:rPr>
          <w:rFonts w:ascii="Calibri" w:eastAsia="Times New Roman" w:hAnsi="Calibri" w:cs="Calibri"/>
          <w:i/>
        </w:rPr>
        <w:t xml:space="preserve">, </w:t>
      </w:r>
      <w:r w:rsidRPr="008E2B62">
        <w:rPr>
          <w:rFonts w:ascii="Calibri" w:eastAsia="Times New Roman" w:hAnsi="Calibri" w:cs="Calibri"/>
        </w:rPr>
        <w:t>this patient is now suitable for prescribing to move to primary care.</w:t>
      </w:r>
    </w:p>
    <w:p w14:paraId="4D425B42" w14:textId="77777777" w:rsidR="008E2B62" w:rsidRPr="008E2B62" w:rsidRDefault="008E2B62" w:rsidP="008E2B62">
      <w:pPr>
        <w:spacing w:before="0" w:after="0" w:line="240" w:lineRule="auto"/>
        <w:rPr>
          <w:rFonts w:ascii="Calibri" w:eastAsia="Times New Roman" w:hAnsi="Calibri" w:cs="Calibri"/>
          <w:sz w:val="8"/>
          <w:szCs w:val="8"/>
        </w:rPr>
      </w:pPr>
      <w:r w:rsidRPr="008E2B62">
        <w:rPr>
          <w:rFonts w:ascii="Calibri" w:eastAsia="Times New Roman" w:hAnsi="Calibri" w:cs="Calibri"/>
        </w:rPr>
        <w:t xml:space="preserve"> </w:t>
      </w:r>
    </w:p>
    <w:p w14:paraId="05B3BFDB"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 xml:space="preserve">The patient fulfils criteria for shared </w:t>
      </w:r>
      <w:proofErr w:type="gramStart"/>
      <w:r w:rsidRPr="008E2B62">
        <w:rPr>
          <w:rFonts w:ascii="Calibri" w:eastAsia="Times New Roman" w:hAnsi="Calibri" w:cs="Calibri"/>
        </w:rPr>
        <w:t>care</w:t>
      </w:r>
      <w:proofErr w:type="gramEnd"/>
      <w:r w:rsidRPr="008E2B62">
        <w:rPr>
          <w:rFonts w:ascii="Calibri" w:eastAsia="Times New Roman" w:hAnsi="Calibri" w:cs="Calibri"/>
        </w:rPr>
        <w:t xml:space="preserve"> and I am therefore requesting your agreement to participate in shared care. Where baseline investigations are set out in the shared care protocol, I have carried these out.</w:t>
      </w:r>
    </w:p>
    <w:p w14:paraId="5BD3F5F8" w14:textId="77777777" w:rsidR="008E2B62" w:rsidRPr="008E2B62" w:rsidRDefault="008E2B62" w:rsidP="008E2B62">
      <w:pPr>
        <w:spacing w:before="0" w:after="0" w:line="240" w:lineRule="auto"/>
        <w:rPr>
          <w:rFonts w:ascii="Calibri" w:eastAsia="Times New Roman" w:hAnsi="Calibri" w:cs="Calibri"/>
          <w:sz w:val="8"/>
          <w:szCs w:val="8"/>
        </w:rPr>
      </w:pPr>
    </w:p>
    <w:p w14:paraId="6D901AE2"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I can confirm that the following has happened regarding this treatment:</w:t>
      </w:r>
    </w:p>
    <w:tbl>
      <w:tblPr>
        <w:tblStyle w:val="TableGrid"/>
        <w:tblW w:w="9923" w:type="dxa"/>
        <w:tblInd w:w="-5" w:type="dxa"/>
        <w:tblLook w:val="04A0" w:firstRow="1" w:lastRow="0" w:firstColumn="1" w:lastColumn="0" w:noHBand="0" w:noVBand="1"/>
      </w:tblPr>
      <w:tblGrid>
        <w:gridCol w:w="7508"/>
        <w:gridCol w:w="2415"/>
      </w:tblGrid>
      <w:tr w:rsidR="008E2B62" w:rsidRPr="008E2B62" w14:paraId="092FB78E" w14:textId="77777777" w:rsidTr="008E2B62">
        <w:tc>
          <w:tcPr>
            <w:tcW w:w="7508" w:type="dxa"/>
          </w:tcPr>
          <w:p w14:paraId="4C64509A" w14:textId="77777777" w:rsidR="008E2B62" w:rsidRPr="008E2B62" w:rsidRDefault="008E2B62" w:rsidP="008E2B62">
            <w:pPr>
              <w:jc w:val="center"/>
              <w:rPr>
                <w:rFonts w:ascii="Calibri" w:eastAsia="Times New Roman" w:hAnsi="Calibri" w:cs="Arial"/>
                <w:b/>
                <w:sz w:val="20"/>
                <w:szCs w:val="20"/>
              </w:rPr>
            </w:pPr>
          </w:p>
        </w:tc>
        <w:tc>
          <w:tcPr>
            <w:tcW w:w="2415" w:type="dxa"/>
          </w:tcPr>
          <w:p w14:paraId="3F751191" w14:textId="77777777" w:rsidR="008E2B62" w:rsidRPr="008E2B62" w:rsidRDefault="008E2B62" w:rsidP="008E2B62">
            <w:pPr>
              <w:jc w:val="center"/>
              <w:rPr>
                <w:rFonts w:ascii="Calibri" w:eastAsia="Times New Roman" w:hAnsi="Calibri" w:cs="Arial"/>
                <w:b/>
                <w:sz w:val="20"/>
                <w:szCs w:val="20"/>
              </w:rPr>
            </w:pPr>
            <w:r w:rsidRPr="008E2B62">
              <w:rPr>
                <w:rFonts w:ascii="Calibri" w:eastAsia="Times New Roman" w:hAnsi="Calibri" w:cs="Arial"/>
                <w:b/>
                <w:sz w:val="20"/>
                <w:szCs w:val="20"/>
              </w:rPr>
              <w:t>Specialist to complete</w:t>
            </w:r>
          </w:p>
        </w:tc>
      </w:tr>
      <w:tr w:rsidR="008E2B62" w:rsidRPr="008E2B62" w14:paraId="4C717836" w14:textId="77777777" w:rsidTr="008E2B62">
        <w:tc>
          <w:tcPr>
            <w:tcW w:w="7508" w:type="dxa"/>
          </w:tcPr>
          <w:p w14:paraId="06A167D4" w14:textId="5C82EDA6"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been initiated on this therapy:</w:t>
            </w:r>
          </w:p>
        </w:tc>
        <w:tc>
          <w:tcPr>
            <w:tcW w:w="2415" w:type="dxa"/>
          </w:tcPr>
          <w:p w14:paraId="7918EE0E" w14:textId="4B9F79C5" w:rsidR="008E2B62" w:rsidRPr="008E2B62" w:rsidRDefault="00A358C8" w:rsidP="00A358C8">
            <w:pPr>
              <w:jc w:val="center"/>
              <w:rPr>
                <w:rFonts w:ascii="Calibri" w:eastAsia="Times New Roman" w:hAnsi="Calibri" w:cs="Arial"/>
                <w:iCs/>
                <w:sz w:val="20"/>
                <w:szCs w:val="20"/>
              </w:rPr>
            </w:pPr>
            <w:r>
              <w:rPr>
                <w:rFonts w:ascii="Calibri" w:eastAsia="Calibri" w:hAnsi="Calibri" w:cs="Arial"/>
                <w:i/>
              </w:rPr>
              <w:fldChar w:fldCharType="begin">
                <w:ffData>
                  <w:name w:val="Text63"/>
                  <w:enabled/>
                  <w:calcOnExit w:val="0"/>
                  <w:textInput>
                    <w:default w:val="[insert text]"/>
                  </w:textInput>
                </w:ffData>
              </w:fldChar>
            </w:r>
            <w:bookmarkStart w:id="33" w:name="Text63"/>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bookmarkEnd w:id="33"/>
          </w:p>
        </w:tc>
      </w:tr>
      <w:tr w:rsidR="008E2B62" w:rsidRPr="008E2B62" w14:paraId="14CAC37D" w14:textId="77777777" w:rsidTr="008E2B62">
        <w:tc>
          <w:tcPr>
            <w:tcW w:w="7508" w:type="dxa"/>
          </w:tcPr>
          <w:p w14:paraId="381D8376"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Baseline investigation and monitoring as set out in the shared care documents have been completed and were satisfactory</w:t>
            </w:r>
          </w:p>
        </w:tc>
        <w:tc>
          <w:tcPr>
            <w:tcW w:w="2415" w:type="dxa"/>
          </w:tcPr>
          <w:p w14:paraId="5F492985" w14:textId="727FAD8A" w:rsidR="008E2B62" w:rsidRPr="008E2B62" w:rsidRDefault="00A358C8" w:rsidP="008E2B62">
            <w:pPr>
              <w:jc w:val="center"/>
              <w:rPr>
                <w:rFonts w:ascii="Calibri" w:eastAsia="Times New Roman" w:hAnsi="Calibri" w:cs="Arial"/>
                <w:iCs/>
                <w:sz w:val="20"/>
                <w:szCs w:val="20"/>
              </w:rPr>
            </w:pPr>
            <w:r>
              <w:rPr>
                <w:rFonts w:ascii="Calibri" w:eastAsia="Calibri" w:hAnsi="Calibri" w:cs="Arial"/>
                <w:i/>
              </w:rPr>
              <w:fldChar w:fldCharType="begin">
                <w:ffData>
                  <w:name w:val=""/>
                  <w:enabled/>
                  <w:calcOnExit w:val="0"/>
                  <w:textInput>
                    <w:default w:val="[Yes / No]"/>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[Yes / No]</w:t>
            </w:r>
            <w:r>
              <w:rPr>
                <w:rFonts w:ascii="Calibri" w:eastAsia="Calibri" w:hAnsi="Calibri" w:cs="Arial"/>
                <w:i/>
              </w:rPr>
              <w:fldChar w:fldCharType="end"/>
            </w:r>
          </w:p>
        </w:tc>
      </w:tr>
      <w:tr w:rsidR="00A358C8" w:rsidRPr="008E2B62" w14:paraId="043739CF" w14:textId="77777777" w:rsidTr="008E2B62">
        <w:tc>
          <w:tcPr>
            <w:tcW w:w="7508" w:type="dxa"/>
          </w:tcPr>
          <w:p w14:paraId="41BA42AA"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The condition being treated has a predictable course of progression and the patient can be suitably maintained by primary care</w:t>
            </w:r>
          </w:p>
        </w:tc>
        <w:tc>
          <w:tcPr>
            <w:tcW w:w="2415" w:type="dxa"/>
          </w:tcPr>
          <w:p w14:paraId="219C4CB3" w14:textId="2F23F53A" w:rsidR="00A358C8" w:rsidRPr="008E2B62" w:rsidRDefault="00A358C8" w:rsidP="00A358C8">
            <w:pPr>
              <w:jc w:val="center"/>
              <w:rPr>
                <w:rFonts w:ascii="Calibri" w:eastAsia="Times New Roman"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A358C8" w:rsidRPr="008E2B62" w14:paraId="7C3E1F2D" w14:textId="77777777" w:rsidTr="008E2B62">
        <w:tc>
          <w:tcPr>
            <w:tcW w:w="7508" w:type="dxa"/>
          </w:tcPr>
          <w:p w14:paraId="55B17850"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The risks and benefits of treatment have been explained to the patient</w:t>
            </w:r>
          </w:p>
        </w:tc>
        <w:tc>
          <w:tcPr>
            <w:tcW w:w="2415" w:type="dxa"/>
          </w:tcPr>
          <w:p w14:paraId="14618529" w14:textId="7E114185" w:rsidR="00A358C8" w:rsidRPr="008E2B62" w:rsidRDefault="00A358C8" w:rsidP="00A358C8">
            <w:pPr>
              <w:jc w:val="center"/>
              <w:rPr>
                <w:rFonts w:ascii="Calibri" w:eastAsia="Calibri"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A358C8" w:rsidRPr="008E2B62" w14:paraId="207E66B3" w14:textId="77777777" w:rsidTr="008E2B62">
        <w:tc>
          <w:tcPr>
            <w:tcW w:w="7508" w:type="dxa"/>
          </w:tcPr>
          <w:p w14:paraId="763F04C5"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The roles of the specialist/specialist team/</w:t>
            </w:r>
            <w:r w:rsidRPr="008E2B62">
              <w:rPr>
                <w:rFonts w:ascii="Calibri" w:eastAsia="Calibri" w:hAnsi="Calibri" w:cs="Arial"/>
                <w:iCs/>
                <w:sz w:val="20"/>
                <w:szCs w:val="20"/>
              </w:rPr>
              <w:t xml:space="preserve"> </w:t>
            </w:r>
            <w:r w:rsidRPr="008E2B62">
              <w:rPr>
                <w:rFonts w:ascii="Calibri" w:eastAsia="Times New Roman" w:hAnsi="Calibri" w:cs="Arial"/>
                <w:iCs/>
                <w:sz w:val="20"/>
                <w:szCs w:val="20"/>
              </w:rPr>
              <w:t>Primary Care Prescriber / Patient and pharmacist have been explained and agreed</w:t>
            </w:r>
          </w:p>
        </w:tc>
        <w:tc>
          <w:tcPr>
            <w:tcW w:w="2415" w:type="dxa"/>
          </w:tcPr>
          <w:p w14:paraId="6AA6EA7B" w14:textId="11C8F57F" w:rsidR="00A358C8" w:rsidRPr="008E2B62" w:rsidRDefault="00A358C8" w:rsidP="00A358C8">
            <w:pPr>
              <w:jc w:val="center"/>
              <w:rPr>
                <w:rFonts w:ascii="Calibri" w:eastAsia="Calibri"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A358C8" w:rsidRPr="008E2B62" w14:paraId="2F652C75" w14:textId="77777777" w:rsidTr="008E2B62">
        <w:tc>
          <w:tcPr>
            <w:tcW w:w="7508" w:type="dxa"/>
          </w:tcPr>
          <w:p w14:paraId="2C3697BA"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The patient has agreed to this shared care arrangement, understands the need for ongoing monitoring, and has agreed to attend all necessary appointments</w:t>
            </w:r>
          </w:p>
        </w:tc>
        <w:tc>
          <w:tcPr>
            <w:tcW w:w="2415" w:type="dxa"/>
          </w:tcPr>
          <w:p w14:paraId="456784F9" w14:textId="4B5E55F7" w:rsidR="00A358C8" w:rsidRPr="008E2B62" w:rsidRDefault="00A358C8" w:rsidP="00A358C8">
            <w:pPr>
              <w:jc w:val="center"/>
              <w:rPr>
                <w:rFonts w:ascii="Calibri" w:eastAsia="Calibri"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A358C8" w:rsidRPr="008E2B62" w14:paraId="3ACD6968" w14:textId="77777777" w:rsidTr="008E2B62">
        <w:tc>
          <w:tcPr>
            <w:tcW w:w="7508" w:type="dxa"/>
          </w:tcPr>
          <w:p w14:paraId="576762D6"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 xml:space="preserve">I have enclosed a copy of the shared care </w:t>
            </w:r>
            <w:proofErr w:type="gramStart"/>
            <w:r w:rsidRPr="008E2B62">
              <w:rPr>
                <w:rFonts w:ascii="Calibri" w:eastAsia="Times New Roman" w:hAnsi="Calibri" w:cs="Arial"/>
                <w:iCs/>
                <w:sz w:val="20"/>
                <w:szCs w:val="20"/>
              </w:rPr>
              <w:t>protocol  which</w:t>
            </w:r>
            <w:proofErr w:type="gramEnd"/>
            <w:r w:rsidRPr="008E2B62">
              <w:rPr>
                <w:rFonts w:ascii="Calibri" w:eastAsia="Times New Roman" w:hAnsi="Calibri" w:cs="Arial"/>
                <w:iCs/>
                <w:sz w:val="20"/>
                <w:szCs w:val="20"/>
              </w:rPr>
              <w:t xml:space="preserve"> covers this treatment/the SCP can be found here (insert electronic/ web link)</w:t>
            </w:r>
          </w:p>
        </w:tc>
        <w:tc>
          <w:tcPr>
            <w:tcW w:w="2415" w:type="dxa"/>
          </w:tcPr>
          <w:p w14:paraId="34479FE2" w14:textId="1E6449C9" w:rsidR="00A358C8" w:rsidRPr="008E2B62" w:rsidRDefault="00A358C8" w:rsidP="00A358C8">
            <w:pPr>
              <w:jc w:val="center"/>
              <w:rPr>
                <w:rFonts w:ascii="Calibri" w:eastAsia="Calibri"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A358C8" w:rsidRPr="008E2B62" w14:paraId="211E9AF0" w14:textId="77777777" w:rsidTr="008E2B62">
        <w:tc>
          <w:tcPr>
            <w:tcW w:w="7508" w:type="dxa"/>
          </w:tcPr>
          <w:p w14:paraId="75519F7B" w14:textId="77777777" w:rsidR="00A358C8" w:rsidRPr="008E2B62" w:rsidRDefault="00A358C8" w:rsidP="00A358C8">
            <w:pPr>
              <w:jc w:val="right"/>
              <w:rPr>
                <w:rFonts w:ascii="Calibri" w:eastAsia="Times New Roman" w:hAnsi="Calibri" w:cs="Arial"/>
                <w:iCs/>
                <w:sz w:val="20"/>
                <w:szCs w:val="20"/>
              </w:rPr>
            </w:pPr>
            <w:r w:rsidRPr="008E2B62">
              <w:rPr>
                <w:rFonts w:ascii="Calibri" w:eastAsia="Times New Roman" w:hAnsi="Calibri" w:cs="Arial"/>
                <w:iCs/>
                <w:sz w:val="20"/>
                <w:szCs w:val="20"/>
              </w:rPr>
              <w:t>I have included with the letter copies of the information the patient has received</w:t>
            </w:r>
          </w:p>
        </w:tc>
        <w:tc>
          <w:tcPr>
            <w:tcW w:w="2415" w:type="dxa"/>
          </w:tcPr>
          <w:p w14:paraId="576036AE" w14:textId="3379696E" w:rsidR="00A358C8" w:rsidRPr="008E2B62" w:rsidRDefault="00A358C8" w:rsidP="00A358C8">
            <w:pPr>
              <w:jc w:val="center"/>
              <w:rPr>
                <w:rFonts w:ascii="Calibri" w:eastAsia="Calibri" w:hAnsi="Calibri" w:cs="Arial"/>
                <w:iCs/>
                <w:sz w:val="20"/>
                <w:szCs w:val="20"/>
              </w:rPr>
            </w:pPr>
            <w:r w:rsidRPr="005D3421">
              <w:rPr>
                <w:rFonts w:ascii="Calibri" w:eastAsia="Calibri" w:hAnsi="Calibri" w:cs="Arial"/>
                <w:i/>
              </w:rPr>
              <w:fldChar w:fldCharType="begin">
                <w:ffData>
                  <w:name w:val=""/>
                  <w:enabled/>
                  <w:calcOnExit w:val="0"/>
                  <w:textInput>
                    <w:default w:val="[Yes / No]"/>
                  </w:textInput>
                </w:ffData>
              </w:fldChar>
            </w:r>
            <w:r w:rsidRPr="005D3421">
              <w:rPr>
                <w:rFonts w:ascii="Calibri" w:eastAsia="Calibri" w:hAnsi="Calibri" w:cs="Arial"/>
                <w:i/>
              </w:rPr>
              <w:instrText xml:space="preserve"> FORMTEXT </w:instrText>
            </w:r>
            <w:r w:rsidRPr="005D3421">
              <w:rPr>
                <w:rFonts w:ascii="Calibri" w:eastAsia="Calibri" w:hAnsi="Calibri" w:cs="Arial"/>
                <w:i/>
              </w:rPr>
            </w:r>
            <w:r w:rsidRPr="005D3421">
              <w:rPr>
                <w:rFonts w:ascii="Calibri" w:eastAsia="Calibri" w:hAnsi="Calibri" w:cs="Arial"/>
                <w:i/>
              </w:rPr>
              <w:fldChar w:fldCharType="separate"/>
            </w:r>
            <w:r w:rsidRPr="005D3421">
              <w:rPr>
                <w:rFonts w:ascii="Calibri" w:eastAsia="Calibri" w:hAnsi="Calibri" w:cs="Arial"/>
                <w:i/>
                <w:noProof/>
              </w:rPr>
              <w:t>[Yes / No]</w:t>
            </w:r>
            <w:r w:rsidRPr="005D3421">
              <w:rPr>
                <w:rFonts w:ascii="Calibri" w:eastAsia="Calibri" w:hAnsi="Calibri" w:cs="Arial"/>
                <w:i/>
              </w:rPr>
              <w:fldChar w:fldCharType="end"/>
            </w:r>
          </w:p>
        </w:tc>
      </w:tr>
      <w:tr w:rsidR="008E2B62" w:rsidRPr="008E2B62" w14:paraId="4B5185D7" w14:textId="77777777" w:rsidTr="008E2B62">
        <w:tc>
          <w:tcPr>
            <w:tcW w:w="7508" w:type="dxa"/>
          </w:tcPr>
          <w:p w14:paraId="2E2AA7FB"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provided the patient with sufficient medication to last until</w:t>
            </w:r>
          </w:p>
        </w:tc>
        <w:tc>
          <w:tcPr>
            <w:tcW w:w="2415" w:type="dxa"/>
          </w:tcPr>
          <w:p w14:paraId="357B03E7" w14:textId="5489DBE9" w:rsidR="008E2B62" w:rsidRPr="008E2B62" w:rsidRDefault="00A358C8" w:rsidP="008E2B62">
            <w:pPr>
              <w:rPr>
                <w:rFonts w:ascii="Calibri" w:eastAsia="Times New Roman" w:hAnsi="Calibri" w:cs="Arial"/>
                <w:iCs/>
                <w:sz w:val="20"/>
                <w:szCs w:val="20"/>
              </w:rPr>
            </w:pPr>
            <w:r>
              <w:rPr>
                <w:rFonts w:ascii="Calibri" w:eastAsia="Calibri" w:hAnsi="Calibri" w:cs="Arial"/>
                <w:i/>
              </w:rPr>
              <w:fldChar w:fldCharType="begin">
                <w:ffData>
                  <w:name w:val="Text63"/>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r w:rsidR="008E2B62" w:rsidRPr="008E2B62" w14:paraId="3FB94D43" w14:textId="77777777" w:rsidTr="008E2B62">
        <w:tc>
          <w:tcPr>
            <w:tcW w:w="7508" w:type="dxa"/>
          </w:tcPr>
          <w:p w14:paraId="1188698B" w14:textId="77777777" w:rsidR="008E2B62" w:rsidRPr="008E2B62" w:rsidRDefault="008E2B62" w:rsidP="008E2B62">
            <w:pPr>
              <w:jc w:val="right"/>
              <w:rPr>
                <w:rFonts w:ascii="Calibri" w:eastAsia="Times New Roman" w:hAnsi="Calibri" w:cs="Arial"/>
                <w:iCs/>
                <w:sz w:val="20"/>
                <w:szCs w:val="20"/>
              </w:rPr>
            </w:pPr>
            <w:r w:rsidRPr="008E2B62">
              <w:rPr>
                <w:rFonts w:ascii="Calibri" w:eastAsia="Times New Roman" w:hAnsi="Calibri" w:cs="Arial"/>
                <w:iCs/>
                <w:sz w:val="20"/>
                <w:szCs w:val="20"/>
              </w:rPr>
              <w:t>I have arranged a follow up with this patient in the following timescale</w:t>
            </w:r>
          </w:p>
        </w:tc>
        <w:tc>
          <w:tcPr>
            <w:tcW w:w="2415" w:type="dxa"/>
          </w:tcPr>
          <w:p w14:paraId="3945A435" w14:textId="47C64B17" w:rsidR="008E2B62" w:rsidRPr="008E2B62" w:rsidRDefault="00A358C8" w:rsidP="008E2B62">
            <w:pPr>
              <w:rPr>
                <w:rFonts w:ascii="Calibri" w:eastAsia="Times New Roman" w:hAnsi="Calibri" w:cs="Arial"/>
                <w:iCs/>
                <w:sz w:val="20"/>
                <w:szCs w:val="20"/>
              </w:rPr>
            </w:pPr>
            <w:r>
              <w:rPr>
                <w:rFonts w:ascii="Calibri" w:eastAsia="Calibri" w:hAnsi="Calibri" w:cs="Arial"/>
                <w:i/>
              </w:rPr>
              <w:fldChar w:fldCharType="begin">
                <w:ffData>
                  <w:name w:val="Text63"/>
                  <w:enabled/>
                  <w:calcOnExit w:val="0"/>
                  <w:textInput>
                    <w:default w:val="[insert text]"/>
                  </w:textInput>
                </w:ffData>
              </w:fldChar>
            </w:r>
            <w:r>
              <w:rPr>
                <w:rFonts w:ascii="Calibri" w:eastAsia="Calibri" w:hAnsi="Calibri" w:cs="Arial"/>
                <w:i/>
              </w:rPr>
              <w:instrText xml:space="preserve"> FORMTEXT </w:instrText>
            </w:r>
            <w:r>
              <w:rPr>
                <w:rFonts w:ascii="Calibri" w:eastAsia="Calibri" w:hAnsi="Calibri" w:cs="Arial"/>
                <w:i/>
              </w:rPr>
            </w:r>
            <w:r>
              <w:rPr>
                <w:rFonts w:ascii="Calibri" w:eastAsia="Calibri" w:hAnsi="Calibri" w:cs="Arial"/>
                <w:i/>
              </w:rPr>
              <w:fldChar w:fldCharType="separate"/>
            </w:r>
            <w:r>
              <w:rPr>
                <w:rFonts w:ascii="Calibri" w:eastAsia="Calibri" w:hAnsi="Calibri" w:cs="Arial"/>
                <w:i/>
                <w:noProof/>
              </w:rPr>
              <w:t>[insert text]</w:t>
            </w:r>
            <w:r>
              <w:rPr>
                <w:rFonts w:ascii="Calibri" w:eastAsia="Calibri" w:hAnsi="Calibri" w:cs="Arial"/>
                <w:i/>
              </w:rPr>
              <w:fldChar w:fldCharType="end"/>
            </w:r>
          </w:p>
        </w:tc>
      </w:tr>
    </w:tbl>
    <w:p w14:paraId="42D5CC2C" w14:textId="77777777" w:rsidR="008E2B62" w:rsidRPr="008E2B62" w:rsidRDefault="008E2B62" w:rsidP="008E2B62">
      <w:pPr>
        <w:spacing w:before="0" w:after="0" w:line="276" w:lineRule="auto"/>
        <w:rPr>
          <w:rFonts w:ascii="Calibri" w:eastAsia="Times New Roman" w:hAnsi="Calibri" w:cs="Calibri"/>
        </w:rPr>
      </w:pPr>
    </w:p>
    <w:p w14:paraId="1F067CBE" w14:textId="0F25FBF5" w:rsidR="008E2B62" w:rsidRPr="008E2B62" w:rsidRDefault="008E2B62" w:rsidP="008E2B62">
      <w:pPr>
        <w:spacing w:before="0" w:line="276" w:lineRule="auto"/>
        <w:rPr>
          <w:rFonts w:ascii="Calibri" w:eastAsia="Calibri" w:hAnsi="Calibri" w:cs="Arial"/>
        </w:rPr>
      </w:pPr>
      <w:r w:rsidRPr="008E2B62">
        <w:rPr>
          <w:rFonts w:ascii="Calibri" w:eastAsia="Calibri" w:hAnsi="Calibri" w:cs="Arial"/>
        </w:rPr>
        <w:t xml:space="preserve">Treatment was started on </w:t>
      </w:r>
      <w:r w:rsidRPr="008E2B62">
        <w:rPr>
          <w:rFonts w:ascii="Calibri" w:eastAsia="Calibri" w:hAnsi="Calibri" w:cs="Arial"/>
          <w:i/>
        </w:rPr>
        <w:fldChar w:fldCharType="begin">
          <w:ffData>
            <w:name w:val="Text63"/>
            <w:enabled/>
            <w:calcOnExit w:val="0"/>
            <w:textInput>
              <w:default w:val="[insert date started]"/>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 started]</w:t>
      </w:r>
      <w:r w:rsidRPr="008E2B62">
        <w:rPr>
          <w:rFonts w:ascii="Calibri" w:eastAsia="Calibri" w:hAnsi="Calibri" w:cs="Arial"/>
          <w:i/>
        </w:rPr>
        <w:fldChar w:fldCharType="end"/>
      </w:r>
      <w:r w:rsidRPr="008E2B62">
        <w:rPr>
          <w:rFonts w:ascii="Calibri" w:eastAsia="Calibri" w:hAnsi="Calibri" w:cs="Arial"/>
        </w:rPr>
        <w:t xml:space="preserve"> and the current dose is </w:t>
      </w:r>
      <w:r w:rsidR="00DA56BA" w:rsidRPr="00DA56BA">
        <w:rPr>
          <w:rFonts w:ascii="Calibri" w:eastAsia="Calibri" w:hAnsi="Calibri" w:cs="Arial"/>
          <w:iCs/>
        </w:rPr>
        <w:t xml:space="preserve">60mg </w:t>
      </w:r>
      <w:proofErr w:type="spellStart"/>
      <w:r w:rsidR="00DA56BA" w:rsidRPr="00DA56BA">
        <w:rPr>
          <w:rFonts w:ascii="Calibri" w:eastAsia="Calibri" w:hAnsi="Calibri" w:cs="Arial"/>
          <w:iCs/>
        </w:rPr>
        <w:t>sc</w:t>
      </w:r>
      <w:proofErr w:type="spellEnd"/>
      <w:r w:rsidR="00DA56BA" w:rsidRPr="00DA56BA">
        <w:rPr>
          <w:rFonts w:ascii="Calibri" w:eastAsia="Calibri" w:hAnsi="Calibri" w:cs="Arial"/>
          <w:iCs/>
        </w:rPr>
        <w:t xml:space="preserve"> once every six months</w:t>
      </w:r>
    </w:p>
    <w:p w14:paraId="56EC46CF" w14:textId="3F3F9390" w:rsidR="008E2B62" w:rsidRDefault="008E2B62" w:rsidP="008E2B62">
      <w:pPr>
        <w:spacing w:before="0" w:line="276" w:lineRule="auto"/>
        <w:rPr>
          <w:rFonts w:ascii="Calibri" w:eastAsia="Times New Roman" w:hAnsi="Calibri" w:cs="Arial"/>
          <w:i/>
        </w:rPr>
      </w:pPr>
      <w:r w:rsidRPr="008E2B62">
        <w:rPr>
          <w:rFonts w:ascii="Calibri" w:eastAsia="Times New Roman" w:hAnsi="Calibri" w:cs="Arial"/>
        </w:rPr>
        <w:t xml:space="preserve">If you </w:t>
      </w:r>
      <w:proofErr w:type="gramStart"/>
      <w:r w:rsidRPr="008E2B62">
        <w:rPr>
          <w:rFonts w:ascii="Calibri" w:eastAsia="Times New Roman" w:hAnsi="Calibri" w:cs="Arial"/>
        </w:rPr>
        <w:t>are in agreement</w:t>
      </w:r>
      <w:proofErr w:type="gramEnd"/>
      <w:r w:rsidRPr="008E2B62">
        <w:rPr>
          <w:rFonts w:ascii="Calibri" w:eastAsia="Times New Roman" w:hAnsi="Calibri" w:cs="Arial"/>
        </w:rPr>
        <w:t xml:space="preserve">, please undertake monitoring and treatment from </w:t>
      </w:r>
      <w:r w:rsidRPr="008E2B62">
        <w:rPr>
          <w:rFonts w:ascii="Calibri" w:eastAsia="Times New Roman" w:hAnsi="Calibri" w:cs="Arial"/>
          <w:i/>
        </w:rPr>
        <w:fldChar w:fldCharType="begin">
          <w:ffData>
            <w:name w:val="Text65"/>
            <w:enabled/>
            <w:calcOnExit w:val="0"/>
            <w:textInput>
              <w:default w:val="[insert date]"/>
            </w:textInput>
          </w:ffData>
        </w:fldChar>
      </w:r>
      <w:r w:rsidRPr="008E2B62">
        <w:rPr>
          <w:rFonts w:ascii="Calibri" w:eastAsia="Times New Roman" w:hAnsi="Calibri" w:cs="Arial"/>
          <w:i/>
        </w:rPr>
        <w:instrText xml:space="preserve"> FORMTEXT </w:instrText>
      </w:r>
      <w:r w:rsidRPr="008E2B62">
        <w:rPr>
          <w:rFonts w:ascii="Calibri" w:eastAsia="Times New Roman" w:hAnsi="Calibri" w:cs="Arial"/>
          <w:i/>
        </w:rPr>
      </w:r>
      <w:r w:rsidRPr="008E2B62">
        <w:rPr>
          <w:rFonts w:ascii="Calibri" w:eastAsia="Times New Roman" w:hAnsi="Calibri" w:cs="Arial"/>
          <w:i/>
        </w:rPr>
        <w:fldChar w:fldCharType="separate"/>
      </w:r>
      <w:r w:rsidRPr="008E2B62">
        <w:rPr>
          <w:rFonts w:ascii="Calibri" w:eastAsia="Times New Roman" w:hAnsi="Calibri" w:cs="Arial"/>
          <w:i/>
          <w:noProof/>
        </w:rPr>
        <w:t>[insert date]</w:t>
      </w:r>
      <w:r w:rsidRPr="008E2B62">
        <w:rPr>
          <w:rFonts w:ascii="Calibri" w:eastAsia="Times New Roman" w:hAnsi="Calibri" w:cs="Arial"/>
          <w:i/>
        </w:rPr>
        <w:fldChar w:fldCharType="end"/>
      </w:r>
      <w:r w:rsidRPr="008E2B62">
        <w:rPr>
          <w:rFonts w:ascii="Calibri" w:eastAsia="Times New Roman" w:hAnsi="Calibri" w:cs="Arial"/>
          <w:i/>
        </w:rPr>
        <w:t xml:space="preserve"> </w:t>
      </w:r>
    </w:p>
    <w:p w14:paraId="41655F79" w14:textId="4212D1B3" w:rsidR="008E2B62" w:rsidRPr="008E2B62" w:rsidRDefault="008E2B62" w:rsidP="008E2B62">
      <w:pPr>
        <w:spacing w:before="0" w:line="276" w:lineRule="auto"/>
        <w:rPr>
          <w:rFonts w:ascii="Calibri" w:eastAsia="Times New Roman" w:hAnsi="Calibri" w:cs="Calibri"/>
        </w:rPr>
      </w:pPr>
      <w:r w:rsidRPr="008E2B62">
        <w:rPr>
          <w:rFonts w:ascii="Calibri" w:eastAsia="Times New Roman" w:hAnsi="Calibri" w:cs="Arial"/>
        </w:rPr>
        <w:t xml:space="preserve">The next blood monitoring is due on </w:t>
      </w:r>
      <w:r w:rsidRPr="008E2B62">
        <w:rPr>
          <w:rFonts w:ascii="Calibri" w:eastAsia="Calibri" w:hAnsi="Calibri" w:cs="Arial"/>
          <w:i/>
        </w:rPr>
        <w:fldChar w:fldCharType="begin">
          <w:ffData>
            <w:name w:val="Text63"/>
            <w:enabled/>
            <w:calcOnExit w:val="0"/>
            <w:textInput>
              <w:default w:val="[insert date]"/>
            </w:textInput>
          </w:ffData>
        </w:fldChar>
      </w:r>
      <w:r w:rsidRPr="008E2B62">
        <w:rPr>
          <w:rFonts w:ascii="Calibri" w:eastAsia="Calibri" w:hAnsi="Calibri" w:cs="Arial"/>
          <w:i/>
        </w:rPr>
        <w:instrText xml:space="preserve"> FORMTEXT </w:instrText>
      </w:r>
      <w:r w:rsidRPr="008E2B62">
        <w:rPr>
          <w:rFonts w:ascii="Calibri" w:eastAsia="Calibri" w:hAnsi="Calibri" w:cs="Arial"/>
          <w:i/>
        </w:rPr>
      </w:r>
      <w:r w:rsidRPr="008E2B62">
        <w:rPr>
          <w:rFonts w:ascii="Calibri" w:eastAsia="Calibri" w:hAnsi="Calibri" w:cs="Arial"/>
          <w:i/>
        </w:rPr>
        <w:fldChar w:fldCharType="separate"/>
      </w:r>
      <w:r w:rsidRPr="008E2B62">
        <w:rPr>
          <w:rFonts w:ascii="Calibri" w:eastAsia="Calibri" w:hAnsi="Calibri" w:cs="Arial"/>
          <w:i/>
          <w:noProof/>
        </w:rPr>
        <w:t>[insert date]</w:t>
      </w:r>
      <w:r w:rsidRPr="008E2B62">
        <w:rPr>
          <w:rFonts w:ascii="Calibri" w:eastAsia="Calibri" w:hAnsi="Calibri" w:cs="Arial"/>
          <w:i/>
        </w:rPr>
        <w:fldChar w:fldCharType="end"/>
      </w:r>
      <w:r w:rsidRPr="008E2B62">
        <w:rPr>
          <w:rFonts w:ascii="Calibri" w:eastAsia="Calibri" w:hAnsi="Calibri" w:cs="Arial"/>
          <w:i/>
        </w:rPr>
        <w:t xml:space="preserve"> </w:t>
      </w:r>
      <w:r w:rsidRPr="008E2B62">
        <w:rPr>
          <w:rFonts w:ascii="Calibri" w:eastAsia="Times New Roman" w:hAnsi="Calibri" w:cs="Arial"/>
        </w:rPr>
        <w:t xml:space="preserve">and </w:t>
      </w:r>
      <w:r w:rsidR="00DA56BA">
        <w:rPr>
          <w:rFonts w:ascii="Calibri" w:eastAsia="Times New Roman" w:hAnsi="Calibri" w:cs="Arial"/>
        </w:rPr>
        <w:t xml:space="preserve">the next dose of denosumab is due on </w:t>
      </w:r>
      <w:r w:rsidR="00DA56BA" w:rsidRPr="008E2B62">
        <w:rPr>
          <w:rFonts w:ascii="Calibri" w:eastAsia="Calibri" w:hAnsi="Calibri" w:cs="Arial"/>
          <w:i/>
        </w:rPr>
        <w:fldChar w:fldCharType="begin">
          <w:ffData>
            <w:name w:val="Text63"/>
            <w:enabled/>
            <w:calcOnExit w:val="0"/>
            <w:textInput>
              <w:default w:val="[insert date]"/>
            </w:textInput>
          </w:ffData>
        </w:fldChar>
      </w:r>
      <w:r w:rsidR="00DA56BA" w:rsidRPr="008E2B62">
        <w:rPr>
          <w:rFonts w:ascii="Calibri" w:eastAsia="Calibri" w:hAnsi="Calibri" w:cs="Arial"/>
          <w:i/>
        </w:rPr>
        <w:instrText xml:space="preserve"> FORMTEXT </w:instrText>
      </w:r>
      <w:r w:rsidR="00DA56BA" w:rsidRPr="008E2B62">
        <w:rPr>
          <w:rFonts w:ascii="Calibri" w:eastAsia="Calibri" w:hAnsi="Calibri" w:cs="Arial"/>
          <w:i/>
        </w:rPr>
      </w:r>
      <w:r w:rsidR="00DA56BA" w:rsidRPr="008E2B62">
        <w:rPr>
          <w:rFonts w:ascii="Calibri" w:eastAsia="Calibri" w:hAnsi="Calibri" w:cs="Arial"/>
          <w:i/>
        </w:rPr>
        <w:fldChar w:fldCharType="separate"/>
      </w:r>
      <w:r w:rsidR="00DA56BA" w:rsidRPr="008E2B62">
        <w:rPr>
          <w:rFonts w:ascii="Calibri" w:eastAsia="Calibri" w:hAnsi="Calibri" w:cs="Arial"/>
          <w:i/>
          <w:noProof/>
        </w:rPr>
        <w:t>[insert date]</w:t>
      </w:r>
      <w:r w:rsidR="00DA56BA" w:rsidRPr="008E2B62">
        <w:rPr>
          <w:rFonts w:ascii="Calibri" w:eastAsia="Calibri" w:hAnsi="Calibri" w:cs="Arial"/>
          <w:i/>
        </w:rPr>
        <w:fldChar w:fldCharType="end"/>
      </w:r>
    </w:p>
    <w:p w14:paraId="690C6A7D" w14:textId="77777777" w:rsidR="008E2B62" w:rsidRPr="008E2B62" w:rsidRDefault="008E2B62" w:rsidP="008E2B62">
      <w:pPr>
        <w:spacing w:before="0" w:line="276" w:lineRule="auto"/>
        <w:rPr>
          <w:rFonts w:ascii="Calibri" w:eastAsia="Calibri" w:hAnsi="Calibri" w:cs="Times New Roman"/>
        </w:rPr>
      </w:pPr>
      <w:r w:rsidRPr="008E2B62">
        <w:rPr>
          <w:rFonts w:ascii="Calibri" w:eastAsia="Times New Roman" w:hAnsi="Calibri" w:cs="Calibri"/>
        </w:rPr>
        <w:t>P</w:t>
      </w:r>
      <w:r w:rsidRPr="008E2B62">
        <w:rPr>
          <w:rFonts w:ascii="Calibri" w:eastAsia="Calibri" w:hAnsi="Calibri" w:cs="Times New Roman"/>
        </w:rPr>
        <w:t xml:space="preserve">lease could you reply to this request for shared care and initiation of the suggested medication to either accept or decline within 14 days. </w:t>
      </w:r>
    </w:p>
    <w:p w14:paraId="1C5E2CD5" w14:textId="77777777" w:rsidR="008E2B62" w:rsidRPr="008E2B62" w:rsidRDefault="008E2B62" w:rsidP="008E2B62">
      <w:pPr>
        <w:spacing w:before="0" w:after="0" w:line="240" w:lineRule="auto"/>
        <w:rPr>
          <w:rFonts w:ascii="Calibri" w:eastAsia="Times New Roman" w:hAnsi="Calibri" w:cs="Calibri"/>
          <w:i/>
        </w:rPr>
      </w:pPr>
      <w:r w:rsidRPr="008E2B62">
        <w:rPr>
          <w:rFonts w:ascii="Calibri" w:eastAsia="Times New Roman" w:hAnsi="Calibri" w:cs="Calibri"/>
        </w:rPr>
        <w:t xml:space="preserve">Name: </w:t>
      </w:r>
      <w:r w:rsidRPr="008E2B62">
        <w:rPr>
          <w:rFonts w:ascii="Calibri" w:eastAsia="Times New Roman" w:hAnsi="Calibri" w:cs="Calibri"/>
          <w:i/>
        </w:rPr>
        <w:fldChar w:fldCharType="begin">
          <w:ffData>
            <w:name w:val=""/>
            <w:enabled/>
            <w:calcOnExit w:val="0"/>
            <w:textInput>
              <w:default w:val="[insert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name]</w:t>
      </w:r>
      <w:r w:rsidRPr="008E2B62">
        <w:rPr>
          <w:rFonts w:ascii="Calibri" w:eastAsia="Times New Roman" w:hAnsi="Calibri" w:cs="Calibri"/>
          <w:i/>
        </w:rPr>
        <w:fldChar w:fldCharType="end"/>
      </w:r>
    </w:p>
    <w:p w14:paraId="63EA9EAD"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 xml:space="preserve">Role and specialty: </w:t>
      </w:r>
      <w:r w:rsidRPr="008E2B62">
        <w:rPr>
          <w:rFonts w:ascii="Calibri" w:eastAsia="Times New Roman" w:hAnsi="Calibri" w:cs="Calibri"/>
          <w:i/>
        </w:rPr>
        <w:fldChar w:fldCharType="begin">
          <w:ffData>
            <w:name w:val=""/>
            <w:enabled/>
            <w:calcOnExit w:val="0"/>
            <w:textInput>
              <w:default w:val="[insert role and specialty]"/>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role and specialty]</w:t>
      </w:r>
      <w:r w:rsidRPr="008E2B62">
        <w:rPr>
          <w:rFonts w:ascii="Calibri" w:eastAsia="Times New Roman" w:hAnsi="Calibri" w:cs="Calibri"/>
          <w:i/>
        </w:rPr>
        <w:fldChar w:fldCharType="end"/>
      </w:r>
    </w:p>
    <w:p w14:paraId="3AD62EA3" w14:textId="77777777" w:rsidR="008E2B62" w:rsidRPr="008E2B62" w:rsidRDefault="008E2B62" w:rsidP="008E2B62">
      <w:pPr>
        <w:spacing w:before="0" w:after="0" w:line="240" w:lineRule="auto"/>
        <w:rPr>
          <w:rFonts w:ascii="Calibri" w:eastAsia="Times New Roman" w:hAnsi="Calibri" w:cs="Calibri"/>
          <w:i/>
        </w:rPr>
      </w:pPr>
      <w:r w:rsidRPr="008E2B62">
        <w:rPr>
          <w:rFonts w:ascii="Calibri" w:eastAsia="Times New Roman" w:hAnsi="Calibri" w:cs="Calibri"/>
        </w:rPr>
        <w:t xml:space="preserve">Daytime telephone number: </w:t>
      </w:r>
      <w:r w:rsidRPr="008E2B62">
        <w:rPr>
          <w:rFonts w:ascii="Calibri" w:eastAsia="Times New Roman" w:hAnsi="Calibri" w:cs="Calibri"/>
          <w:i/>
        </w:rPr>
        <w:fldChar w:fldCharType="begin">
          <w:ffData>
            <w:name w:val=""/>
            <w:enabled/>
            <w:calcOnExit w:val="0"/>
            <w:textInput>
              <w:default w:val="[insert daytime telephone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daytime telephone number]</w:t>
      </w:r>
      <w:r w:rsidRPr="008E2B62">
        <w:rPr>
          <w:rFonts w:ascii="Calibri" w:eastAsia="Times New Roman" w:hAnsi="Calibri" w:cs="Calibri"/>
          <w:i/>
        </w:rPr>
        <w:fldChar w:fldCharType="end"/>
      </w:r>
    </w:p>
    <w:p w14:paraId="45C7EA3F" w14:textId="77777777" w:rsidR="008E2B62" w:rsidRPr="008E2B62" w:rsidRDefault="008E2B62" w:rsidP="008E2B62">
      <w:pPr>
        <w:spacing w:before="0" w:after="0" w:line="240" w:lineRule="auto"/>
        <w:rPr>
          <w:rFonts w:ascii="Calibri" w:eastAsia="Times New Roman" w:hAnsi="Calibri" w:cs="Calibri"/>
          <w:i/>
        </w:rPr>
      </w:pPr>
      <w:r w:rsidRPr="008E2B62">
        <w:rPr>
          <w:rFonts w:ascii="Calibri" w:eastAsia="Times New Roman" w:hAnsi="Calibri" w:cs="Calibri"/>
        </w:rPr>
        <w:t xml:space="preserve">Email address: </w:t>
      </w:r>
      <w:r w:rsidRPr="008E2B62">
        <w:rPr>
          <w:rFonts w:ascii="Calibri" w:eastAsia="Times New Roman" w:hAnsi="Calibri" w:cs="Calibri"/>
          <w:i/>
        </w:rPr>
        <w:fldChar w:fldCharType="begin">
          <w:ffData>
            <w:name w:val=""/>
            <w:enabled/>
            <w:calcOnExit w:val="0"/>
            <w:textInput>
              <w:default w:val="[insert email 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email address]</w:t>
      </w:r>
      <w:r w:rsidRPr="008E2B62">
        <w:rPr>
          <w:rFonts w:ascii="Calibri" w:eastAsia="Times New Roman" w:hAnsi="Calibri" w:cs="Calibri"/>
          <w:i/>
        </w:rPr>
        <w:fldChar w:fldCharType="end"/>
      </w:r>
    </w:p>
    <w:p w14:paraId="21725439" w14:textId="77777777" w:rsidR="008E2B62" w:rsidRPr="008E2B62" w:rsidRDefault="008E2B62" w:rsidP="008E2B62">
      <w:pPr>
        <w:spacing w:before="0" w:after="0" w:line="240" w:lineRule="auto"/>
        <w:rPr>
          <w:rFonts w:ascii="Calibri" w:eastAsia="Times New Roman" w:hAnsi="Calibri" w:cs="Calibri"/>
        </w:rPr>
      </w:pPr>
      <w:r w:rsidRPr="008E2B62">
        <w:rPr>
          <w:rFonts w:ascii="Calibri" w:eastAsia="Times New Roman" w:hAnsi="Calibri" w:cs="Calibri"/>
        </w:rPr>
        <w:t xml:space="preserve">Alternative contact: </w:t>
      </w:r>
      <w:r w:rsidRPr="008E2B62">
        <w:rPr>
          <w:rFonts w:ascii="Calibri" w:eastAsia="Times New Roman" w:hAnsi="Calibri" w:cs="Calibri"/>
          <w:i/>
        </w:rPr>
        <w:fldChar w:fldCharType="begin">
          <w:ffData>
            <w:name w:val=""/>
            <w:enabled/>
            <w:calcOnExit w:val="0"/>
            <w:textInput>
              <w:default w:val="[insert contact information, e.g. for clinic or specialist nurs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clinic or specialist nurse]</w:t>
      </w:r>
      <w:r w:rsidRPr="008E2B62">
        <w:rPr>
          <w:rFonts w:ascii="Calibri" w:eastAsia="Times New Roman" w:hAnsi="Calibri" w:cs="Calibri"/>
          <w:i/>
        </w:rPr>
        <w:fldChar w:fldCharType="end"/>
      </w:r>
    </w:p>
    <w:p w14:paraId="3A15C04F" w14:textId="77777777" w:rsidR="008E2B62" w:rsidRPr="008E2B62" w:rsidRDefault="008E2B62" w:rsidP="008E2B62">
      <w:pPr>
        <w:spacing w:before="0" w:line="276" w:lineRule="auto"/>
        <w:rPr>
          <w:rFonts w:ascii="Calibri" w:eastAsia="Calibri" w:hAnsi="Calibri" w:cs="Times New Roman"/>
        </w:rPr>
      </w:pPr>
      <w:r w:rsidRPr="008E2B62">
        <w:rPr>
          <w:rFonts w:ascii="Calibri" w:eastAsia="Times New Roman" w:hAnsi="Calibri" w:cs="Calibri"/>
        </w:rPr>
        <w:t xml:space="preserve">Out of hours contact details: </w:t>
      </w:r>
      <w:r w:rsidRPr="008E2B62">
        <w:rPr>
          <w:rFonts w:ascii="Calibri" w:eastAsia="Times New Roman" w:hAnsi="Calibri" w:cs="Calibri"/>
          <w:i/>
        </w:rPr>
        <w:fldChar w:fldCharType="begin">
          <w:ffData>
            <w:name w:val=""/>
            <w:enabled/>
            <w:calcOnExit w:val="0"/>
            <w:textInput>
              <w:default w:val="[insert contact information, e.g. for duty docto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contact information, e.g. for duty doctor]</w:t>
      </w:r>
      <w:r w:rsidRPr="008E2B62">
        <w:rPr>
          <w:rFonts w:ascii="Calibri" w:eastAsia="Times New Roman" w:hAnsi="Calibri" w:cs="Calibri"/>
          <w:i/>
        </w:rPr>
        <w:fldChar w:fldCharType="end"/>
      </w:r>
    </w:p>
    <w:p w14:paraId="6F7F79FA" w14:textId="080146EE" w:rsidR="008E2B62" w:rsidRPr="008E2B62" w:rsidRDefault="008E2B62" w:rsidP="008E2B62">
      <w:pPr>
        <w:spacing w:before="0" w:line="276" w:lineRule="auto"/>
        <w:rPr>
          <w:rFonts w:ascii="Calibri" w:eastAsia="Calibri" w:hAnsi="Calibri" w:cs="Times New Roman"/>
        </w:rPr>
      </w:pPr>
      <w:r w:rsidRPr="008E2B62">
        <w:rPr>
          <w:rFonts w:ascii="Calibri" w:eastAsia="Calibri" w:hAnsi="Calibri" w:cs="Calibri"/>
        </w:rPr>
        <w:br w:type="page"/>
      </w:r>
      <w:r w:rsidRPr="008E2B62">
        <w:rPr>
          <w:rFonts w:ascii="Calibri" w:eastAsia="Calibri" w:hAnsi="Calibri" w:cs="Times New Roman"/>
        </w:rPr>
        <w:lastRenderedPageBreak/>
        <w:t xml:space="preserve">Appendix </w:t>
      </w:r>
      <w:r w:rsidR="00F64ED9">
        <w:rPr>
          <w:rFonts w:ascii="Calibri" w:eastAsia="Calibri" w:hAnsi="Calibri" w:cs="Times New Roman"/>
        </w:rPr>
        <w:t>3</w:t>
      </w:r>
      <w:r w:rsidRPr="008E2B62">
        <w:rPr>
          <w:rFonts w:ascii="Calibri" w:eastAsia="Calibri" w:hAnsi="Calibri" w:cs="Times New Roman"/>
        </w:rPr>
        <w:t>: Shared Care Agreement Letter (Primary Care Prescriber to Specialist)</w:t>
      </w:r>
    </w:p>
    <w:p w14:paraId="08775F83" w14:textId="77777777" w:rsidR="008E2B62" w:rsidRPr="008E2B62" w:rsidRDefault="008E2B62" w:rsidP="008E2B62">
      <w:pPr>
        <w:spacing w:before="0" w:after="0" w:line="276" w:lineRule="auto"/>
        <w:rPr>
          <w:rFonts w:ascii="Calibri" w:eastAsia="Times New Roman" w:hAnsi="Calibri" w:cs="Calibri"/>
          <w:b/>
          <w:bCs/>
          <w:sz w:val="32"/>
          <w:szCs w:val="20"/>
        </w:rPr>
      </w:pPr>
    </w:p>
    <w:p w14:paraId="6697E972" w14:textId="77777777" w:rsidR="008E2B62" w:rsidRPr="008E2B62" w:rsidRDefault="008E2B62" w:rsidP="008E2B62">
      <w:pPr>
        <w:spacing w:before="0" w:after="200" w:line="276" w:lineRule="auto"/>
        <w:rPr>
          <w:rFonts w:ascii="Calibri" w:eastAsia="Calibri" w:hAnsi="Calibri" w:cs="Times New Roman"/>
          <w:b/>
        </w:rPr>
      </w:pPr>
      <w:r w:rsidRPr="008E2B62">
        <w:rPr>
          <w:rFonts w:ascii="Calibri" w:eastAsia="Calibri" w:hAnsi="Calibri" w:cs="Times New Roman"/>
          <w:b/>
        </w:rPr>
        <w:t>Primary Care Prescriber Response</w:t>
      </w:r>
    </w:p>
    <w:p w14:paraId="6CE3B7D7"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Dear</w:t>
      </w:r>
      <w:r w:rsidRPr="008E2B62">
        <w:rPr>
          <w:rFonts w:ascii="Calibri" w:eastAsia="Times New Roman" w:hAnsi="Calibri" w:cs="Calibri"/>
        </w:rPr>
        <w:tab/>
      </w:r>
      <w:r w:rsidRPr="008E2B62">
        <w:rPr>
          <w:rFonts w:ascii="Calibri" w:eastAsia="Times New Roman" w:hAnsi="Calibri" w:cs="Calibri"/>
        </w:rPr>
        <w:tab/>
        <w:t xml:space="preserve"> </w:t>
      </w:r>
      <w:r w:rsidRPr="008E2B62">
        <w:rPr>
          <w:rFonts w:ascii="Calibri" w:eastAsia="Times New Roman" w:hAnsi="Calibri" w:cs="Calibri"/>
          <w:i/>
        </w:rPr>
        <w:fldChar w:fldCharType="begin">
          <w:ffData>
            <w:name w:val="Text69"/>
            <w:enabled/>
            <w:calcOnExit w:val="0"/>
            <w:textInput>
              <w:default w:val="[insert Doctor'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Doctor's name]</w:t>
      </w:r>
      <w:r w:rsidRPr="008E2B62">
        <w:rPr>
          <w:rFonts w:ascii="Calibri" w:eastAsia="Times New Roman" w:hAnsi="Calibri" w:cs="Calibri"/>
          <w:i/>
        </w:rPr>
        <w:fldChar w:fldCharType="end"/>
      </w:r>
    </w:p>
    <w:p w14:paraId="7710B5DA" w14:textId="77777777" w:rsidR="008E2B62" w:rsidRPr="008E2B62" w:rsidRDefault="008E2B62" w:rsidP="008E2B62">
      <w:pPr>
        <w:spacing w:before="0" w:after="0" w:line="276" w:lineRule="auto"/>
        <w:rPr>
          <w:rFonts w:ascii="Calibri" w:eastAsia="Times New Roman" w:hAnsi="Calibri" w:cs="Calibri"/>
        </w:rPr>
      </w:pPr>
    </w:p>
    <w:p w14:paraId="571D6B0C" w14:textId="77777777" w:rsidR="008E2B62" w:rsidRPr="008E2B62" w:rsidRDefault="008E2B62" w:rsidP="008E2B62">
      <w:pPr>
        <w:spacing w:before="0" w:after="0" w:line="276" w:lineRule="auto"/>
        <w:rPr>
          <w:rFonts w:ascii="Calibri" w:eastAsia="Times New Roman" w:hAnsi="Calibri" w:cs="Calibri"/>
          <w:i/>
        </w:rPr>
      </w:pPr>
      <w:r w:rsidRPr="008E2B62">
        <w:rPr>
          <w:rFonts w:ascii="Calibri" w:eastAsia="Times New Roman" w:hAnsi="Calibri" w:cs="Calibri"/>
        </w:rPr>
        <w:t xml:space="preserve">Patient </w:t>
      </w:r>
      <w:r w:rsidRPr="008E2B62">
        <w:rPr>
          <w:rFonts w:ascii="Calibri" w:eastAsia="Times New Roman" w:hAnsi="Calibri" w:cs="Calibri"/>
        </w:rPr>
        <w:tab/>
      </w:r>
      <w:r w:rsidRPr="008E2B62">
        <w:rPr>
          <w:rFonts w:ascii="Calibri" w:eastAsia="Times New Roman" w:hAnsi="Calibri" w:cs="Calibri"/>
        </w:rPr>
        <w:tab/>
      </w:r>
      <w:r w:rsidRPr="008E2B62">
        <w:rPr>
          <w:rFonts w:ascii="Calibri" w:eastAsia="Times New Roman" w:hAnsi="Calibri" w:cs="Calibri"/>
          <w:i/>
        </w:rPr>
        <w:fldChar w:fldCharType="begin">
          <w:ffData>
            <w:name w:val="Text70"/>
            <w:enabled/>
            <w:calcOnExit w:val="0"/>
            <w:textInput>
              <w:default w:val="[insert Patient's name]"/>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name]</w:t>
      </w:r>
      <w:r w:rsidRPr="008E2B62">
        <w:rPr>
          <w:rFonts w:ascii="Calibri" w:eastAsia="Times New Roman" w:hAnsi="Calibri" w:cs="Calibri"/>
          <w:i/>
        </w:rPr>
        <w:fldChar w:fldCharType="end"/>
      </w:r>
    </w:p>
    <w:p w14:paraId="1EA09922" w14:textId="77777777" w:rsidR="008E2B62" w:rsidRPr="008E2B62" w:rsidRDefault="008E2B62" w:rsidP="008E2B62">
      <w:pPr>
        <w:spacing w:before="0" w:after="0" w:line="276" w:lineRule="auto"/>
        <w:rPr>
          <w:rFonts w:ascii="Calibri" w:eastAsia="Times New Roman" w:hAnsi="Calibri" w:cs="Calibri"/>
          <w:i/>
        </w:rPr>
      </w:pPr>
    </w:p>
    <w:p w14:paraId="121F64CD" w14:textId="77777777" w:rsidR="008E2B62" w:rsidRPr="008E2B62" w:rsidRDefault="008E2B62" w:rsidP="008E2B62">
      <w:pPr>
        <w:spacing w:before="0" w:after="0" w:line="276" w:lineRule="auto"/>
        <w:rPr>
          <w:rFonts w:ascii="Calibri" w:eastAsia="Times New Roman" w:hAnsi="Calibri" w:cs="Calibri"/>
          <w:iCs/>
        </w:rPr>
      </w:pPr>
      <w:r w:rsidRPr="008E2B62">
        <w:rPr>
          <w:rFonts w:ascii="Calibri" w:eastAsia="Times New Roman" w:hAnsi="Calibri" w:cs="Calibri"/>
        </w:rPr>
        <w:t>NHS Number</w:t>
      </w:r>
      <w:r w:rsidRPr="008E2B62">
        <w:rPr>
          <w:rFonts w:ascii="Calibri" w:eastAsia="Times New Roman" w:hAnsi="Calibri" w:cs="Calibri"/>
        </w:rPr>
        <w:tab/>
      </w:r>
      <w:r w:rsidRPr="008E2B62">
        <w:rPr>
          <w:rFonts w:ascii="Calibri" w:eastAsia="Times New Roman" w:hAnsi="Calibri" w:cs="Calibri"/>
          <w:i/>
        </w:rPr>
        <w:fldChar w:fldCharType="begin">
          <w:ffData>
            <w:name w:val=""/>
            <w:enabled/>
            <w:calcOnExit w:val="0"/>
            <w:textInput>
              <w:default w:val="[insert NHS Number]"/>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NHS Number]</w:t>
      </w:r>
      <w:r w:rsidRPr="008E2B62">
        <w:rPr>
          <w:rFonts w:ascii="Calibri" w:eastAsia="Times New Roman" w:hAnsi="Calibri" w:cs="Calibri"/>
          <w:i/>
        </w:rPr>
        <w:fldChar w:fldCharType="end"/>
      </w:r>
    </w:p>
    <w:p w14:paraId="596ACFD5" w14:textId="77777777" w:rsidR="008E2B62" w:rsidRPr="008E2B62" w:rsidRDefault="008E2B62" w:rsidP="008E2B62">
      <w:pPr>
        <w:spacing w:before="0" w:after="0" w:line="276" w:lineRule="auto"/>
        <w:rPr>
          <w:rFonts w:ascii="Calibri" w:eastAsia="Times New Roman" w:hAnsi="Calibri" w:cs="Calibri"/>
        </w:rPr>
      </w:pPr>
    </w:p>
    <w:p w14:paraId="71B40388" w14:textId="77777777" w:rsidR="008E2B62" w:rsidRPr="008E2B62" w:rsidRDefault="008E2B62" w:rsidP="008E2B62">
      <w:pPr>
        <w:spacing w:before="0" w:after="0" w:line="276" w:lineRule="auto"/>
        <w:rPr>
          <w:rFonts w:ascii="Calibri" w:eastAsia="Times New Roman" w:hAnsi="Calibri" w:cs="Calibri"/>
          <w:i/>
          <w:iCs/>
        </w:rPr>
      </w:pPr>
      <w:r w:rsidRPr="008E2B62">
        <w:rPr>
          <w:rFonts w:ascii="Calibri" w:eastAsia="Times New Roman" w:hAnsi="Calibri" w:cs="Calibri"/>
        </w:rPr>
        <w:t>Identifier</w:t>
      </w:r>
      <w:r w:rsidRPr="008E2B62">
        <w:rPr>
          <w:rFonts w:ascii="Calibri" w:eastAsia="Times New Roman" w:hAnsi="Calibri" w:cs="Calibri"/>
        </w:rPr>
        <w:tab/>
      </w:r>
      <w:r w:rsidRPr="008E2B62">
        <w:rPr>
          <w:rFonts w:ascii="Calibri" w:eastAsia="Times New Roman" w:hAnsi="Calibri" w:cs="Calibri"/>
          <w:i/>
        </w:rPr>
        <w:fldChar w:fldCharType="begin">
          <w:ffData>
            <w:name w:val="Text71"/>
            <w:enabled/>
            <w:calcOnExit w:val="0"/>
            <w:textInput>
              <w:default w:val="[insert patient's date of birth and/oraddress]"/>
            </w:textInput>
          </w:ffData>
        </w:fldChar>
      </w:r>
      <w:r w:rsidRPr="008E2B62">
        <w:rPr>
          <w:rFonts w:ascii="Calibri" w:eastAsia="Times New Roman" w:hAnsi="Calibri" w:cs="Calibri"/>
          <w:i/>
        </w:rPr>
        <w:instrText xml:space="preserve"> FORMTEXT </w:instrText>
      </w:r>
      <w:r w:rsidRPr="008E2B62">
        <w:rPr>
          <w:rFonts w:ascii="Calibri" w:eastAsia="Times New Roman" w:hAnsi="Calibri" w:cs="Calibri"/>
          <w:i/>
        </w:rPr>
      </w:r>
      <w:r w:rsidRPr="008E2B62">
        <w:rPr>
          <w:rFonts w:ascii="Calibri" w:eastAsia="Times New Roman" w:hAnsi="Calibri" w:cs="Calibri"/>
          <w:i/>
        </w:rPr>
        <w:fldChar w:fldCharType="separate"/>
      </w:r>
      <w:r w:rsidRPr="008E2B62">
        <w:rPr>
          <w:rFonts w:ascii="Calibri" w:eastAsia="Times New Roman" w:hAnsi="Calibri" w:cs="Calibri"/>
          <w:i/>
          <w:noProof/>
        </w:rPr>
        <w:t>[insert patient's date of birth and/oraddress]</w:t>
      </w:r>
      <w:r w:rsidRPr="008E2B62">
        <w:rPr>
          <w:rFonts w:ascii="Calibri" w:eastAsia="Times New Roman" w:hAnsi="Calibri" w:cs="Calibri"/>
          <w:i/>
        </w:rPr>
        <w:fldChar w:fldCharType="end"/>
      </w:r>
    </w:p>
    <w:p w14:paraId="21F85A7D" w14:textId="77777777" w:rsidR="008E2B62" w:rsidRPr="008E2B62" w:rsidRDefault="008E2B62" w:rsidP="008E2B62">
      <w:pPr>
        <w:spacing w:before="0" w:after="0" w:line="276" w:lineRule="auto"/>
        <w:rPr>
          <w:rFonts w:ascii="Calibri" w:eastAsia="Times New Roman" w:hAnsi="Calibri" w:cs="Calibri"/>
          <w:i/>
          <w:iCs/>
        </w:rPr>
      </w:pPr>
    </w:p>
    <w:p w14:paraId="4FB43E68" w14:textId="77777777" w:rsidR="008E2B62" w:rsidRPr="008E2B62" w:rsidRDefault="008E2B62" w:rsidP="008E2B62">
      <w:pPr>
        <w:spacing w:before="0" w:after="0" w:line="276" w:lineRule="auto"/>
        <w:rPr>
          <w:rFonts w:ascii="Calibri" w:eastAsia="Times New Roman" w:hAnsi="Calibri" w:cs="Calibri"/>
        </w:rPr>
      </w:pPr>
    </w:p>
    <w:p w14:paraId="50CB032E" w14:textId="77777777" w:rsidR="008E2B62" w:rsidRPr="008E2B62" w:rsidRDefault="008E2B62" w:rsidP="008E2B62">
      <w:pPr>
        <w:spacing w:before="0" w:after="0" w:line="276" w:lineRule="auto"/>
        <w:rPr>
          <w:rFonts w:ascii="Calibri" w:eastAsia="Times New Roman" w:hAnsi="Calibri" w:cs="Calibri"/>
        </w:rPr>
      </w:pPr>
      <w:r w:rsidRPr="008E2B62">
        <w:rPr>
          <w:rFonts w:ascii="Calibri" w:eastAsia="Times New Roman" w:hAnsi="Calibri" w:cs="Calibri"/>
        </w:rPr>
        <w:t>Thank you for your request for me to accept prescribing responsibility for this patient under a shared care agreement and to provide the following treatment</w:t>
      </w:r>
    </w:p>
    <w:p w14:paraId="1745EF07" w14:textId="77777777" w:rsidR="008E2B62" w:rsidRPr="008E2B62" w:rsidRDefault="008E2B62" w:rsidP="008E2B62">
      <w:pPr>
        <w:spacing w:before="0" w:after="0" w:line="276" w:lineRule="auto"/>
        <w:rPr>
          <w:rFonts w:ascii="Calibri" w:eastAsia="Times New Roman" w:hAnsi="Calibri" w:cs="Calibri"/>
        </w:rPr>
      </w:pPr>
    </w:p>
    <w:tbl>
      <w:tblPr>
        <w:tblStyle w:val="TableGrid"/>
        <w:tblW w:w="0" w:type="auto"/>
        <w:tblLook w:val="04A0" w:firstRow="1" w:lastRow="0" w:firstColumn="1" w:lastColumn="0" w:noHBand="0" w:noVBand="1"/>
      </w:tblPr>
      <w:tblGrid>
        <w:gridCol w:w="3320"/>
        <w:gridCol w:w="3321"/>
        <w:gridCol w:w="3321"/>
      </w:tblGrid>
      <w:tr w:rsidR="008E2B62" w:rsidRPr="008E2B62" w14:paraId="37044B24" w14:textId="77777777" w:rsidTr="008E2B62">
        <w:tc>
          <w:tcPr>
            <w:tcW w:w="3320" w:type="dxa"/>
            <w:shd w:val="clear" w:color="auto" w:fill="D9D9D9"/>
          </w:tcPr>
          <w:p w14:paraId="70EFA7EC" w14:textId="77777777" w:rsidR="008E2B62" w:rsidRPr="008E2B62" w:rsidRDefault="008E2B62" w:rsidP="008E2B62">
            <w:pPr>
              <w:spacing w:before="0" w:after="0" w:line="276" w:lineRule="auto"/>
              <w:jc w:val="center"/>
              <w:rPr>
                <w:rFonts w:ascii="Calibri" w:eastAsia="Times New Roman" w:hAnsi="Calibri" w:cs="Calibri"/>
              </w:rPr>
            </w:pPr>
            <w:r w:rsidRPr="008E2B62">
              <w:rPr>
                <w:rFonts w:ascii="Calibri" w:eastAsia="Times New Roman" w:hAnsi="Calibri" w:cs="Calibri"/>
              </w:rPr>
              <w:t>Medicine</w:t>
            </w:r>
          </w:p>
        </w:tc>
        <w:tc>
          <w:tcPr>
            <w:tcW w:w="3321" w:type="dxa"/>
            <w:shd w:val="clear" w:color="auto" w:fill="D9D9D9"/>
          </w:tcPr>
          <w:p w14:paraId="3509F468" w14:textId="77777777" w:rsidR="008E2B62" w:rsidRPr="008E2B62" w:rsidRDefault="008E2B62" w:rsidP="008E2B62">
            <w:pPr>
              <w:spacing w:before="0" w:after="0" w:line="276" w:lineRule="auto"/>
              <w:jc w:val="center"/>
              <w:rPr>
                <w:rFonts w:ascii="Calibri" w:eastAsia="Times New Roman" w:hAnsi="Calibri" w:cs="Calibri"/>
              </w:rPr>
            </w:pPr>
            <w:r w:rsidRPr="008E2B62">
              <w:rPr>
                <w:rFonts w:ascii="Calibri" w:eastAsia="Times New Roman" w:hAnsi="Calibri" w:cs="Calibri"/>
              </w:rPr>
              <w:t>Route</w:t>
            </w:r>
          </w:p>
        </w:tc>
        <w:tc>
          <w:tcPr>
            <w:tcW w:w="3321" w:type="dxa"/>
            <w:shd w:val="clear" w:color="auto" w:fill="D9D9D9"/>
          </w:tcPr>
          <w:p w14:paraId="59F2145E" w14:textId="77777777" w:rsidR="008E2B62" w:rsidRPr="008E2B62" w:rsidRDefault="008E2B62" w:rsidP="008E2B62">
            <w:pPr>
              <w:spacing w:before="0" w:after="0" w:line="276" w:lineRule="auto"/>
              <w:jc w:val="center"/>
              <w:rPr>
                <w:rFonts w:ascii="Calibri" w:eastAsia="Times New Roman" w:hAnsi="Calibri" w:cs="Calibri"/>
              </w:rPr>
            </w:pPr>
            <w:r w:rsidRPr="008E2B62">
              <w:rPr>
                <w:rFonts w:ascii="Calibri" w:eastAsia="Times New Roman" w:hAnsi="Calibri" w:cs="Calibri"/>
              </w:rPr>
              <w:t>Dose &amp; frequency</w:t>
            </w:r>
          </w:p>
        </w:tc>
      </w:tr>
      <w:tr w:rsidR="008E2B62" w:rsidRPr="008E2B62" w14:paraId="71F18057" w14:textId="77777777" w:rsidTr="00306568">
        <w:tc>
          <w:tcPr>
            <w:tcW w:w="3320" w:type="dxa"/>
          </w:tcPr>
          <w:p w14:paraId="3AC37A9F" w14:textId="3AB3F36F" w:rsidR="008E2B62" w:rsidRPr="008E2B62" w:rsidRDefault="00DA56BA" w:rsidP="008E2B62">
            <w:pPr>
              <w:spacing w:before="0" w:after="0" w:line="276" w:lineRule="auto"/>
              <w:rPr>
                <w:rFonts w:ascii="Calibri" w:eastAsia="Times New Roman" w:hAnsi="Calibri" w:cs="Calibri"/>
              </w:rPr>
            </w:pPr>
            <w:r>
              <w:rPr>
                <w:rFonts w:ascii="Calibri" w:eastAsia="Times New Roman" w:hAnsi="Calibri" w:cs="Calibri"/>
              </w:rPr>
              <w:t>Denosumab</w:t>
            </w:r>
          </w:p>
        </w:tc>
        <w:tc>
          <w:tcPr>
            <w:tcW w:w="3321" w:type="dxa"/>
          </w:tcPr>
          <w:p w14:paraId="7843F7BB" w14:textId="5D28A49D" w:rsidR="008E2B62" w:rsidRPr="008E2B62" w:rsidRDefault="00DA56BA" w:rsidP="008E2B62">
            <w:pPr>
              <w:spacing w:before="0" w:after="0" w:line="276" w:lineRule="auto"/>
              <w:rPr>
                <w:rFonts w:ascii="Calibri" w:eastAsia="Times New Roman" w:hAnsi="Calibri" w:cs="Calibri"/>
              </w:rPr>
            </w:pPr>
            <w:r>
              <w:rPr>
                <w:rFonts w:ascii="Calibri" w:eastAsia="Times New Roman" w:hAnsi="Calibri" w:cs="Calibri"/>
              </w:rPr>
              <w:t>Sc</w:t>
            </w:r>
          </w:p>
        </w:tc>
        <w:tc>
          <w:tcPr>
            <w:tcW w:w="3321" w:type="dxa"/>
          </w:tcPr>
          <w:p w14:paraId="6283B632" w14:textId="5AC50E35" w:rsidR="008E2B62" w:rsidRPr="008E2B62" w:rsidRDefault="00DA56BA" w:rsidP="008E2B62">
            <w:pPr>
              <w:spacing w:before="0" w:after="0" w:line="276" w:lineRule="auto"/>
              <w:rPr>
                <w:rFonts w:ascii="Calibri" w:eastAsia="Times New Roman" w:hAnsi="Calibri" w:cs="Calibri"/>
              </w:rPr>
            </w:pPr>
            <w:r>
              <w:rPr>
                <w:rFonts w:ascii="Calibri" w:eastAsia="Times New Roman" w:hAnsi="Calibri" w:cs="Calibri"/>
              </w:rPr>
              <w:t>60mg every six months</w:t>
            </w:r>
          </w:p>
        </w:tc>
      </w:tr>
    </w:tbl>
    <w:p w14:paraId="58D58430" w14:textId="77777777" w:rsidR="008E2B62" w:rsidRPr="008E2B62" w:rsidRDefault="008E2B62" w:rsidP="008E2B62">
      <w:pPr>
        <w:spacing w:before="0" w:after="0" w:line="276" w:lineRule="auto"/>
        <w:rPr>
          <w:rFonts w:ascii="Calibri" w:eastAsia="Times New Roman" w:hAnsi="Calibri" w:cs="Calibri"/>
        </w:rPr>
      </w:pPr>
    </w:p>
    <w:p w14:paraId="123D0593" w14:textId="77777777" w:rsidR="008E2B62" w:rsidRPr="008E2B62" w:rsidRDefault="008E2B62" w:rsidP="008E2B62">
      <w:pPr>
        <w:spacing w:before="0" w:after="0" w:line="276" w:lineRule="auto"/>
        <w:rPr>
          <w:rFonts w:ascii="Calibri" w:eastAsia="Times New Roman" w:hAnsi="Calibri" w:cs="Calibri"/>
        </w:rPr>
      </w:pPr>
    </w:p>
    <w:p w14:paraId="4A0B8D9A"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 xml:space="preserve">I can confirm that </w:t>
      </w:r>
    </w:p>
    <w:p w14:paraId="38442570" w14:textId="77777777" w:rsidR="008E2B62" w:rsidRPr="008E2B62" w:rsidRDefault="008E2B62" w:rsidP="008E2B62">
      <w:pPr>
        <w:spacing w:before="0" w:after="0" w:line="276" w:lineRule="auto"/>
        <w:rPr>
          <w:rFonts w:ascii="Calibri" w:eastAsia="Times New Roman" w:hAnsi="Calibri" w:cs="Calibri"/>
          <w:bCs/>
        </w:rPr>
      </w:pPr>
    </w:p>
    <w:p w14:paraId="295D0105"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59264" behindDoc="0" locked="0" layoutInCell="1" allowOverlap="1" wp14:anchorId="23146E6F" wp14:editId="61DD58D6">
                <wp:simplePos x="0" y="0"/>
                <wp:positionH relativeFrom="column">
                  <wp:posOffset>24603</wp:posOffset>
                </wp:positionH>
                <wp:positionV relativeFrom="paragraph">
                  <wp:posOffset>7901</wp:posOffset>
                </wp:positionV>
                <wp:extent cx="212651" cy="191386"/>
                <wp:effectExtent l="0" t="0" r="16510" b="18415"/>
                <wp:wrapNone/>
                <wp:docPr id="2" name="Rectangle 2"/>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E0F429" id="Rectangle 2" o:spid="_x0000_s1026" style="position:absolute;margin-left:1.95pt;margin-top:.6pt;width:16.75pt;height:15.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" fillcolor="window" strokecolor="windowText" strokeweight="2pt"/>
            </w:pict>
          </mc:Fallback>
        </mc:AlternateContent>
      </w:r>
      <w:r w:rsidRPr="008E2B62">
        <w:rPr>
          <w:rFonts w:ascii="Calibri" w:eastAsia="Times New Roman" w:hAnsi="Calibri" w:cs="Calibri"/>
          <w:bCs/>
        </w:rPr>
        <w:t xml:space="preserve">         I am willing to take on this responsibility from </w:t>
      </w:r>
      <w:r w:rsidRPr="008E2B62">
        <w:rPr>
          <w:rFonts w:ascii="Calibri" w:eastAsia="Calibri" w:hAnsi="Calibri" w:cs="Times New Roman"/>
          <w:i/>
        </w:rPr>
        <w:fldChar w:fldCharType="begin">
          <w:ffData>
            <w:name w:val="Text63"/>
            <w:enabled/>
            <w:calcOnExit w:val="0"/>
            <w:textInput>
              <w:default w:val="[insert date]"/>
            </w:textInput>
          </w:ffData>
        </w:fldChar>
      </w:r>
      <w:r w:rsidRPr="008E2B62">
        <w:rPr>
          <w:rFonts w:ascii="Calibri" w:eastAsia="Calibri" w:hAnsi="Calibri" w:cs="Times New Roman"/>
          <w:i/>
        </w:rPr>
        <w:instrText xml:space="preserve"> FORMTEXT </w:instrText>
      </w:r>
      <w:r w:rsidRPr="008E2B62">
        <w:rPr>
          <w:rFonts w:ascii="Calibri" w:eastAsia="Calibri" w:hAnsi="Calibri" w:cs="Times New Roman"/>
          <w:i/>
        </w:rPr>
      </w:r>
      <w:r w:rsidRPr="008E2B62">
        <w:rPr>
          <w:rFonts w:ascii="Calibri" w:eastAsia="Calibri" w:hAnsi="Calibri" w:cs="Times New Roman"/>
          <w:i/>
        </w:rPr>
        <w:fldChar w:fldCharType="separate"/>
      </w:r>
      <w:r w:rsidRPr="008E2B62">
        <w:rPr>
          <w:rFonts w:ascii="Calibri" w:eastAsia="Calibri" w:hAnsi="Calibri" w:cs="Times New Roman"/>
          <w:i/>
          <w:noProof/>
        </w:rPr>
        <w:t>[insert date]</w:t>
      </w:r>
      <w:r w:rsidRPr="008E2B62">
        <w:rPr>
          <w:rFonts w:ascii="Calibri" w:eastAsia="Calibri" w:hAnsi="Calibri" w:cs="Times New Roman"/>
          <w:i/>
        </w:rPr>
        <w:fldChar w:fldCharType="end"/>
      </w:r>
      <w:r w:rsidRPr="008E2B62">
        <w:rPr>
          <w:rFonts w:ascii="Calibri" w:eastAsia="Calibri" w:hAnsi="Calibri" w:cs="Times New Roman"/>
          <w:i/>
        </w:rPr>
        <w:t xml:space="preserve"> </w:t>
      </w:r>
      <w:r w:rsidRPr="008E2B62">
        <w:rPr>
          <w:rFonts w:ascii="Calibri" w:eastAsia="Times New Roman" w:hAnsi="Calibri" w:cs="Calibri"/>
          <w:bCs/>
        </w:rPr>
        <w:t>and will complete the monitoring as set out in the shared care protocol for this medicine/condition.</w:t>
      </w:r>
    </w:p>
    <w:p w14:paraId="6FFCF3A8" w14:textId="77777777" w:rsidR="008E2B62" w:rsidRPr="008E2B62" w:rsidRDefault="008E2B62" w:rsidP="008E2B62">
      <w:pPr>
        <w:spacing w:before="0" w:after="0" w:line="276" w:lineRule="auto"/>
        <w:rPr>
          <w:rFonts w:ascii="Calibri" w:eastAsia="Times New Roman" w:hAnsi="Calibri" w:cs="Calibri"/>
          <w:bCs/>
        </w:rPr>
      </w:pPr>
    </w:p>
    <w:p w14:paraId="561C61E0"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noProof/>
        </w:rPr>
        <mc:AlternateContent>
          <mc:Choice Requires="wps">
            <w:drawing>
              <wp:anchor distT="0" distB="0" distL="114300" distR="114300" simplePos="0" relativeHeight="251660288" behindDoc="0" locked="0" layoutInCell="1" allowOverlap="1" wp14:anchorId="03A5F2A5" wp14:editId="105A62CF">
                <wp:simplePos x="0" y="0"/>
                <wp:positionH relativeFrom="margin">
                  <wp:align>left</wp:align>
                </wp:positionH>
                <wp:positionV relativeFrom="paragraph">
                  <wp:posOffset>14605</wp:posOffset>
                </wp:positionV>
                <wp:extent cx="212651" cy="191386"/>
                <wp:effectExtent l="0" t="0" r="16510" b="18415"/>
                <wp:wrapNone/>
                <wp:docPr id="3" name="Rectangle 3"/>
                <wp:cNvGraphicFramePr/>
                <a:graphic xmlns:a="http://schemas.openxmlformats.org/drawingml/2006/main">
                  <a:graphicData uri="http://schemas.microsoft.com/office/word/2010/wordprocessingShape">
                    <wps:wsp>
                      <wps:cNvSpPr/>
                      <wps:spPr>
                        <a:xfrm>
                          <a:off x="0" y="0"/>
                          <a:ext cx="212651" cy="191386"/>
                        </a:xfrm>
                        <a:prstGeom prst="rect">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0DDB61" id="Rectangle 3" o:spid="_x0000_s1026" style="position:absolute;margin-left:0;margin-top:1.15pt;width:16.75pt;height:15.05pt;z-index:251660288;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" fillcolor="window" strokecolor="windowText" strokeweight="2pt">
                <w10:wrap anchorx="margin"/>
              </v:rect>
            </w:pict>
          </mc:Fallback>
        </mc:AlternateContent>
      </w:r>
      <w:r w:rsidRPr="008E2B62">
        <w:rPr>
          <w:rFonts w:ascii="Calibri" w:eastAsia="Times New Roman" w:hAnsi="Calibri" w:cs="Calibri"/>
          <w:bCs/>
        </w:rPr>
        <w:t xml:space="preserve">        I am NOT willing to take on this responsibility due to the following reason/s (please specify):</w:t>
      </w:r>
    </w:p>
    <w:p w14:paraId="19E3B34E" w14:textId="77777777" w:rsidR="008E2B62" w:rsidRPr="008E2B62" w:rsidRDefault="008E2B62" w:rsidP="008E2B62">
      <w:pPr>
        <w:spacing w:before="0" w:after="0" w:line="276" w:lineRule="auto"/>
        <w:rPr>
          <w:rFonts w:ascii="Calibri" w:eastAsia="Times New Roman" w:hAnsi="Calibri" w:cs="Calibri"/>
          <w:bCs/>
        </w:rPr>
      </w:pPr>
    </w:p>
    <w:p w14:paraId="4F628483"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118272E1"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547DDAAF"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7B3B4735"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2C27C214"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w:t>
      </w:r>
    </w:p>
    <w:p w14:paraId="0C4D3CA1" w14:textId="77777777" w:rsidR="008E2B62" w:rsidRPr="008E2B62" w:rsidRDefault="008E2B62" w:rsidP="008E2B62">
      <w:pPr>
        <w:autoSpaceDE w:val="0"/>
        <w:autoSpaceDN w:val="0"/>
        <w:adjustRightInd w:val="0"/>
        <w:spacing w:before="0" w:after="0" w:line="276" w:lineRule="auto"/>
        <w:rPr>
          <w:rFonts w:ascii="Calibri" w:eastAsia="Times New Roman" w:hAnsi="Calibri" w:cs="Calibri"/>
          <w:bCs/>
          <w:lang w:eastAsia="en-GB"/>
        </w:rPr>
      </w:pPr>
      <w:r w:rsidRPr="008E2B62">
        <w:rPr>
          <w:rFonts w:ascii="Calibri" w:eastAsia="Times New Roman" w:hAnsi="Calibri" w:cs="Calibri"/>
          <w:bCs/>
          <w:lang w:eastAsia="en-GB"/>
        </w:rPr>
        <w:t>I would be willing to consider prescribing for this patient once the above criteria have been met for this treatment.  If these/this is met by you please resubmit your request to share care.</w:t>
      </w:r>
    </w:p>
    <w:p w14:paraId="0A1BAB48" w14:textId="77777777" w:rsidR="008E2B62" w:rsidRPr="008E2B62" w:rsidRDefault="008E2B62" w:rsidP="008E2B62">
      <w:pPr>
        <w:spacing w:before="0" w:after="0" w:line="276" w:lineRule="auto"/>
        <w:rPr>
          <w:rFonts w:ascii="Calibri" w:eastAsia="Times New Roman" w:hAnsi="Calibri" w:cs="Calibri"/>
          <w:bCs/>
        </w:rPr>
      </w:pPr>
    </w:p>
    <w:p w14:paraId="6286A4DF"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Primary Care Prescriber signature: _______________________________</w:t>
      </w:r>
      <w:r w:rsidRPr="008E2B62">
        <w:rPr>
          <w:rFonts w:ascii="Calibri" w:eastAsia="Times New Roman" w:hAnsi="Calibri" w:cs="Calibri"/>
          <w:bCs/>
        </w:rPr>
        <w:tab/>
        <w:t xml:space="preserve">Date: ____________ </w:t>
      </w:r>
    </w:p>
    <w:p w14:paraId="626FF64C" w14:textId="77777777" w:rsidR="008E2B62" w:rsidRPr="008E2B62" w:rsidRDefault="008E2B62" w:rsidP="008E2B62">
      <w:pPr>
        <w:spacing w:before="0" w:after="0" w:line="276" w:lineRule="auto"/>
        <w:ind w:left="720"/>
        <w:rPr>
          <w:rFonts w:ascii="Calibri" w:eastAsia="Times New Roman" w:hAnsi="Calibri" w:cs="Calibri"/>
          <w:bCs/>
        </w:rPr>
      </w:pPr>
    </w:p>
    <w:p w14:paraId="7C48A20A" w14:textId="77777777" w:rsidR="008E2B62" w:rsidRPr="008E2B62" w:rsidRDefault="008E2B62" w:rsidP="008E2B62">
      <w:pPr>
        <w:spacing w:before="0" w:after="0" w:line="276" w:lineRule="auto"/>
        <w:ind w:left="720"/>
        <w:rPr>
          <w:rFonts w:ascii="Calibri" w:eastAsia="Times New Roman" w:hAnsi="Calibri" w:cs="Calibri"/>
          <w:bCs/>
        </w:rPr>
      </w:pPr>
    </w:p>
    <w:p w14:paraId="097D5112" w14:textId="77777777" w:rsidR="008E2B62" w:rsidRPr="008E2B62" w:rsidRDefault="008E2B62" w:rsidP="008E2B62">
      <w:pPr>
        <w:spacing w:before="0" w:after="0" w:line="276" w:lineRule="auto"/>
        <w:ind w:left="720"/>
        <w:rPr>
          <w:rFonts w:ascii="Calibri" w:eastAsia="Times New Roman" w:hAnsi="Calibri" w:cs="Calibri"/>
          <w:bCs/>
        </w:rPr>
      </w:pPr>
    </w:p>
    <w:p w14:paraId="279BE7B2" w14:textId="77777777" w:rsidR="008E2B62" w:rsidRPr="008E2B62" w:rsidRDefault="008E2B62" w:rsidP="008E2B62">
      <w:pPr>
        <w:spacing w:before="0" w:after="0" w:line="276" w:lineRule="auto"/>
        <w:rPr>
          <w:rFonts w:ascii="Calibri" w:eastAsia="Times New Roman" w:hAnsi="Calibri" w:cs="Calibri"/>
          <w:bCs/>
        </w:rPr>
      </w:pPr>
      <w:r w:rsidRPr="008E2B62">
        <w:rPr>
          <w:rFonts w:ascii="Calibri" w:eastAsia="Times New Roman" w:hAnsi="Calibri" w:cs="Calibri"/>
          <w:bCs/>
        </w:rPr>
        <w:t>Primary Care Prescriber address/practice stamp:</w:t>
      </w:r>
    </w:p>
    <w:p w14:paraId="48C1BA43" w14:textId="77777777" w:rsidR="003552BC" w:rsidRDefault="003552BC" w:rsidP="00F34C5E"/>
    <w:sectPr w:rsidR="003552BC" w:rsidSect="007A245A">
      <w:footerReference w:type="default" r:id="rId22"/>
      <w:headerReference w:type="first" r:id="rId23"/>
      <w:footnotePr>
        <w:numFmt w:val="lowerLetter"/>
      </w:footnotePr>
      <w:pgSz w:w="11906" w:h="16838"/>
      <w:pgMar w:top="851" w:right="720" w:bottom="1135" w:left="720" w:header="708" w:footer="5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E4C32" w14:textId="77777777" w:rsidR="00A94951" w:rsidRDefault="00A94951" w:rsidP="00E83C66">
      <w:pPr>
        <w:spacing w:after="0" w:line="240" w:lineRule="auto"/>
      </w:pPr>
      <w:r>
        <w:separator/>
      </w:r>
    </w:p>
  </w:endnote>
  <w:endnote w:type="continuationSeparator" w:id="0">
    <w:p w14:paraId="3148981B" w14:textId="77777777" w:rsidR="00A94951" w:rsidRDefault="00A94951" w:rsidP="00E83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B453" w14:textId="46820A2D" w:rsidR="00A358C8" w:rsidRDefault="00CC4648" w:rsidP="00003E35">
    <w:pPr>
      <w:pStyle w:val="Footer"/>
    </w:pPr>
    <w:r w:rsidRPr="00003E35">
      <w:t xml:space="preserve">Shared care protocol: </w:t>
    </w:r>
    <w:r w:rsidR="00210168">
      <w:t>Denosumab for primary and secondary prevention of fracture</w:t>
    </w:r>
    <w:r w:rsidR="00121344">
      <w:t xml:space="preserve"> in adults</w:t>
    </w:r>
    <w:r w:rsidRPr="00003E35">
      <w:t xml:space="preserve"> </w:t>
    </w:r>
    <w:r w:rsidRPr="00003E35">
      <w:tab/>
    </w:r>
    <w:r w:rsidR="00A358C8">
      <w:t>NENC v1.</w:t>
    </w:r>
    <w:r w:rsidR="00121344">
      <w:t>1</w:t>
    </w:r>
  </w:p>
  <w:p w14:paraId="505A2D92" w14:textId="4FA59B16" w:rsidR="00BF1406" w:rsidRDefault="00CC4648" w:rsidP="00003E35">
    <w:pPr>
      <w:pStyle w:val="Footer"/>
    </w:pPr>
    <w:r w:rsidRPr="00003E35">
      <w:t>Approved by</w:t>
    </w:r>
    <w:r w:rsidR="00A358C8">
      <w:t>: NENC Clinical Effectiveness and Governance (CEG) Subcommittee 10</w:t>
    </w:r>
    <w:r w:rsidR="00A358C8" w:rsidRPr="00A358C8">
      <w:rPr>
        <w:vertAlign w:val="superscript"/>
      </w:rPr>
      <w:t>th</w:t>
    </w:r>
    <w:r w:rsidR="00A358C8">
      <w:t xml:space="preserve"> April 2025</w:t>
    </w:r>
    <w:r w:rsidR="00855D13">
      <w:t xml:space="preserve"> (Technical update</w:t>
    </w:r>
    <w:r w:rsidR="00CA7519">
      <w:t xml:space="preserve"> 9</w:t>
    </w:r>
    <w:r w:rsidR="00CA7519" w:rsidRPr="00CA7519">
      <w:rPr>
        <w:vertAlign w:val="superscript"/>
      </w:rPr>
      <w:t>th</w:t>
    </w:r>
    <w:r w:rsidR="00CA7519">
      <w:t xml:space="preserve"> June</w:t>
    </w:r>
    <w:r w:rsidR="007A245A">
      <w:t xml:space="preserve"> 2025</w:t>
    </w:r>
    <w:r w:rsidR="00855D13">
      <w:t>)</w:t>
    </w:r>
  </w:p>
  <w:p w14:paraId="41D04B8F" w14:textId="0B6BEBA3" w:rsidR="008721EC" w:rsidRDefault="008721EC" w:rsidP="00003E35">
    <w:pPr>
      <w:pStyle w:val="Footer"/>
    </w:pPr>
    <w:r>
      <w:t xml:space="preserve">Review date: </w:t>
    </w:r>
    <w:r w:rsidR="00A358C8">
      <w:t>April 2027</w:t>
    </w:r>
  </w:p>
  <w:p w14:paraId="6053BF00" w14:textId="4331C764" w:rsidR="0092446D" w:rsidRPr="0092446D" w:rsidRDefault="0092446D" w:rsidP="0092446D">
    <w:pPr>
      <w:pStyle w:val="Footer"/>
      <w:jc w:val="right"/>
    </w:pPr>
    <w:r w:rsidRPr="0092446D">
      <w:t xml:space="preserve">Page </w:t>
    </w:r>
    <w:r w:rsidRPr="0092446D">
      <w:fldChar w:fldCharType="begin"/>
    </w:r>
    <w:r w:rsidRPr="0092446D">
      <w:instrText xml:space="preserve"> PAGE  \* Arabic  \* MERGEFORMAT </w:instrText>
    </w:r>
    <w:r w:rsidRPr="0092446D">
      <w:fldChar w:fldCharType="separate"/>
    </w:r>
    <w:r w:rsidRPr="0092446D">
      <w:rPr>
        <w:noProof/>
      </w:rPr>
      <w:t>1</w:t>
    </w:r>
    <w:r w:rsidRPr="0092446D">
      <w:fldChar w:fldCharType="end"/>
    </w:r>
    <w:r w:rsidRPr="0092446D">
      <w:t xml:space="preserve"> of </w:t>
    </w:r>
    <w:fldSimple w:instr=" NUMPAGES  \* Arabic  \* MERGEFORMAT ">
      <w:r w:rsidRPr="0092446D">
        <w:rPr>
          <w:noProof/>
        </w:rPr>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CC4F4" w14:textId="77777777" w:rsidR="00A94951" w:rsidRDefault="00A94951" w:rsidP="00E83C66">
      <w:pPr>
        <w:spacing w:after="0" w:line="240" w:lineRule="auto"/>
      </w:pPr>
      <w:r>
        <w:separator/>
      </w:r>
    </w:p>
  </w:footnote>
  <w:footnote w:type="continuationSeparator" w:id="0">
    <w:p w14:paraId="6014D834" w14:textId="77777777" w:rsidR="00A94951" w:rsidRDefault="00A94951" w:rsidP="00E83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ABC3F" w14:textId="5CA0804E" w:rsidR="00CB6622" w:rsidRPr="003C21D1" w:rsidRDefault="008E2B62" w:rsidP="003C21D1">
    <w:pPr>
      <w:pStyle w:val="Header"/>
      <w:spacing w:after="0"/>
    </w:pPr>
    <w:r>
      <w:rPr>
        <w:b/>
        <w:bC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842B2"/>
    <w:multiLevelType w:val="hybridMultilevel"/>
    <w:tmpl w:val="F3F6D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F056CE"/>
    <w:multiLevelType w:val="hybridMultilevel"/>
    <w:tmpl w:val="C0122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8B7CE4"/>
    <w:multiLevelType w:val="hybridMultilevel"/>
    <w:tmpl w:val="2B70CABA"/>
    <w:lvl w:ilvl="0" w:tplc="CD4C99D8">
      <w:start w:val="1"/>
      <w:numFmt w:val="decimal"/>
      <w:lvlText w:val="%1."/>
      <w:lvlJc w:val="left"/>
      <w:pPr>
        <w:ind w:left="1119" w:hanging="360"/>
      </w:pPr>
      <w:rPr>
        <w:rFonts w:ascii="Arial" w:eastAsia="Arial" w:hAnsi="Arial" w:cs="Arial" w:hint="default"/>
        <w:spacing w:val="-1"/>
        <w:w w:val="100"/>
        <w:sz w:val="22"/>
        <w:szCs w:val="22"/>
        <w:lang w:val="en-GB" w:eastAsia="en-GB" w:bidi="en-GB"/>
      </w:rPr>
    </w:lvl>
    <w:lvl w:ilvl="1" w:tplc="8C7A8836">
      <w:numFmt w:val="bullet"/>
      <w:lvlText w:val=""/>
      <w:lvlJc w:val="left"/>
      <w:pPr>
        <w:ind w:left="1479" w:hanging="361"/>
      </w:pPr>
      <w:rPr>
        <w:rFonts w:ascii="Symbol" w:eastAsia="Symbol" w:hAnsi="Symbol" w:cs="Symbol" w:hint="default"/>
        <w:w w:val="100"/>
        <w:sz w:val="22"/>
        <w:szCs w:val="22"/>
        <w:lang w:val="en-GB" w:eastAsia="en-GB" w:bidi="en-GB"/>
      </w:rPr>
    </w:lvl>
    <w:lvl w:ilvl="2" w:tplc="F77618D2">
      <w:numFmt w:val="bullet"/>
      <w:lvlText w:val="•"/>
      <w:lvlJc w:val="left"/>
      <w:pPr>
        <w:ind w:left="2574" w:hanging="361"/>
      </w:pPr>
      <w:rPr>
        <w:rFonts w:hint="default"/>
        <w:lang w:val="en-GB" w:eastAsia="en-GB" w:bidi="en-GB"/>
      </w:rPr>
    </w:lvl>
    <w:lvl w:ilvl="3" w:tplc="A15A8558">
      <w:numFmt w:val="bullet"/>
      <w:lvlText w:val="•"/>
      <w:lvlJc w:val="left"/>
      <w:pPr>
        <w:ind w:left="3668" w:hanging="361"/>
      </w:pPr>
      <w:rPr>
        <w:rFonts w:hint="default"/>
        <w:lang w:val="en-GB" w:eastAsia="en-GB" w:bidi="en-GB"/>
      </w:rPr>
    </w:lvl>
    <w:lvl w:ilvl="4" w:tplc="1EC4C882">
      <w:numFmt w:val="bullet"/>
      <w:lvlText w:val="•"/>
      <w:lvlJc w:val="left"/>
      <w:pPr>
        <w:ind w:left="4762" w:hanging="361"/>
      </w:pPr>
      <w:rPr>
        <w:rFonts w:hint="default"/>
        <w:lang w:val="en-GB" w:eastAsia="en-GB" w:bidi="en-GB"/>
      </w:rPr>
    </w:lvl>
    <w:lvl w:ilvl="5" w:tplc="B8786E54">
      <w:numFmt w:val="bullet"/>
      <w:lvlText w:val="•"/>
      <w:lvlJc w:val="left"/>
      <w:pPr>
        <w:ind w:left="5856" w:hanging="361"/>
      </w:pPr>
      <w:rPr>
        <w:rFonts w:hint="default"/>
        <w:lang w:val="en-GB" w:eastAsia="en-GB" w:bidi="en-GB"/>
      </w:rPr>
    </w:lvl>
    <w:lvl w:ilvl="6" w:tplc="302C62BA">
      <w:numFmt w:val="bullet"/>
      <w:lvlText w:val="•"/>
      <w:lvlJc w:val="left"/>
      <w:pPr>
        <w:ind w:left="6950" w:hanging="361"/>
      </w:pPr>
      <w:rPr>
        <w:rFonts w:hint="default"/>
        <w:lang w:val="en-GB" w:eastAsia="en-GB" w:bidi="en-GB"/>
      </w:rPr>
    </w:lvl>
    <w:lvl w:ilvl="7" w:tplc="086099DC">
      <w:numFmt w:val="bullet"/>
      <w:lvlText w:val="•"/>
      <w:lvlJc w:val="left"/>
      <w:pPr>
        <w:ind w:left="8044" w:hanging="361"/>
      </w:pPr>
      <w:rPr>
        <w:rFonts w:hint="default"/>
        <w:lang w:val="en-GB" w:eastAsia="en-GB" w:bidi="en-GB"/>
      </w:rPr>
    </w:lvl>
    <w:lvl w:ilvl="8" w:tplc="046850E8">
      <w:numFmt w:val="bullet"/>
      <w:lvlText w:val="•"/>
      <w:lvlJc w:val="left"/>
      <w:pPr>
        <w:ind w:left="9138" w:hanging="361"/>
      </w:pPr>
      <w:rPr>
        <w:rFonts w:hint="default"/>
        <w:lang w:val="en-GB" w:eastAsia="en-GB" w:bidi="en-GB"/>
      </w:rPr>
    </w:lvl>
  </w:abstractNum>
  <w:abstractNum w:abstractNumId="3" w15:restartNumberingAfterBreak="0">
    <w:nsid w:val="2E3155D1"/>
    <w:multiLevelType w:val="hybridMultilevel"/>
    <w:tmpl w:val="E9FCEF38"/>
    <w:lvl w:ilvl="0" w:tplc="F83A5966">
      <w:start w:val="1"/>
      <w:numFmt w:val="decimal"/>
      <w:lvlText w:val="%1."/>
      <w:lvlJc w:val="left"/>
      <w:pPr>
        <w:ind w:left="1479" w:hanging="360"/>
      </w:pPr>
      <w:rPr>
        <w:rFonts w:ascii="Arial" w:eastAsia="Arial" w:hAnsi="Arial" w:cs="Arial" w:hint="default"/>
        <w:spacing w:val="-1"/>
        <w:w w:val="100"/>
        <w:sz w:val="22"/>
        <w:szCs w:val="22"/>
        <w:lang w:val="en-GB" w:eastAsia="en-GB" w:bidi="en-GB"/>
      </w:rPr>
    </w:lvl>
    <w:lvl w:ilvl="1" w:tplc="211227D8">
      <w:numFmt w:val="bullet"/>
      <w:lvlText w:val="•"/>
      <w:lvlJc w:val="left"/>
      <w:pPr>
        <w:ind w:left="2464" w:hanging="360"/>
      </w:pPr>
      <w:rPr>
        <w:rFonts w:hint="default"/>
        <w:lang w:val="en-GB" w:eastAsia="en-GB" w:bidi="en-GB"/>
      </w:rPr>
    </w:lvl>
    <w:lvl w:ilvl="2" w:tplc="F53CCA34">
      <w:numFmt w:val="bullet"/>
      <w:lvlText w:val="•"/>
      <w:lvlJc w:val="left"/>
      <w:pPr>
        <w:ind w:left="3449" w:hanging="360"/>
      </w:pPr>
      <w:rPr>
        <w:rFonts w:hint="default"/>
        <w:lang w:val="en-GB" w:eastAsia="en-GB" w:bidi="en-GB"/>
      </w:rPr>
    </w:lvl>
    <w:lvl w:ilvl="3" w:tplc="BA9EEA1C">
      <w:numFmt w:val="bullet"/>
      <w:lvlText w:val="•"/>
      <w:lvlJc w:val="left"/>
      <w:pPr>
        <w:ind w:left="4433" w:hanging="360"/>
      </w:pPr>
      <w:rPr>
        <w:rFonts w:hint="default"/>
        <w:lang w:val="en-GB" w:eastAsia="en-GB" w:bidi="en-GB"/>
      </w:rPr>
    </w:lvl>
    <w:lvl w:ilvl="4" w:tplc="EEB0832C">
      <w:numFmt w:val="bullet"/>
      <w:lvlText w:val="•"/>
      <w:lvlJc w:val="left"/>
      <w:pPr>
        <w:ind w:left="5418" w:hanging="360"/>
      </w:pPr>
      <w:rPr>
        <w:rFonts w:hint="default"/>
        <w:lang w:val="en-GB" w:eastAsia="en-GB" w:bidi="en-GB"/>
      </w:rPr>
    </w:lvl>
    <w:lvl w:ilvl="5" w:tplc="C7EE99CC">
      <w:numFmt w:val="bullet"/>
      <w:lvlText w:val="•"/>
      <w:lvlJc w:val="left"/>
      <w:pPr>
        <w:ind w:left="6403" w:hanging="360"/>
      </w:pPr>
      <w:rPr>
        <w:rFonts w:hint="default"/>
        <w:lang w:val="en-GB" w:eastAsia="en-GB" w:bidi="en-GB"/>
      </w:rPr>
    </w:lvl>
    <w:lvl w:ilvl="6" w:tplc="B0DA0F9E">
      <w:numFmt w:val="bullet"/>
      <w:lvlText w:val="•"/>
      <w:lvlJc w:val="left"/>
      <w:pPr>
        <w:ind w:left="7387" w:hanging="360"/>
      </w:pPr>
      <w:rPr>
        <w:rFonts w:hint="default"/>
        <w:lang w:val="en-GB" w:eastAsia="en-GB" w:bidi="en-GB"/>
      </w:rPr>
    </w:lvl>
    <w:lvl w:ilvl="7" w:tplc="8C96C6A0">
      <w:numFmt w:val="bullet"/>
      <w:lvlText w:val="•"/>
      <w:lvlJc w:val="left"/>
      <w:pPr>
        <w:ind w:left="8372" w:hanging="360"/>
      </w:pPr>
      <w:rPr>
        <w:rFonts w:hint="default"/>
        <w:lang w:val="en-GB" w:eastAsia="en-GB" w:bidi="en-GB"/>
      </w:rPr>
    </w:lvl>
    <w:lvl w:ilvl="8" w:tplc="6A50E1E2">
      <w:numFmt w:val="bullet"/>
      <w:lvlText w:val="•"/>
      <w:lvlJc w:val="left"/>
      <w:pPr>
        <w:ind w:left="9357" w:hanging="360"/>
      </w:pPr>
      <w:rPr>
        <w:rFonts w:hint="default"/>
        <w:lang w:val="en-GB" w:eastAsia="en-GB" w:bidi="en-GB"/>
      </w:rPr>
    </w:lvl>
  </w:abstractNum>
  <w:abstractNum w:abstractNumId="4" w15:restartNumberingAfterBreak="0">
    <w:nsid w:val="35F40B19"/>
    <w:multiLevelType w:val="hybridMultilevel"/>
    <w:tmpl w:val="FBF81040"/>
    <w:lvl w:ilvl="0" w:tplc="CA4A34B8">
      <w:numFmt w:val="bullet"/>
      <w:lvlText w:val=""/>
      <w:lvlJc w:val="left"/>
      <w:pPr>
        <w:ind w:left="1119" w:hanging="361"/>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B865C4"/>
    <w:multiLevelType w:val="hybridMultilevel"/>
    <w:tmpl w:val="D3C02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006A3B"/>
    <w:multiLevelType w:val="hybridMultilevel"/>
    <w:tmpl w:val="146CD52C"/>
    <w:lvl w:ilvl="0" w:tplc="CA4A34B8">
      <w:numFmt w:val="bullet"/>
      <w:lvlText w:val=""/>
      <w:lvlJc w:val="left"/>
      <w:pPr>
        <w:ind w:left="1119" w:hanging="361"/>
      </w:pPr>
      <w:rPr>
        <w:rFonts w:ascii="Symbol" w:eastAsia="Symbol" w:hAnsi="Symbol" w:cs="Symbol" w:hint="default"/>
        <w:w w:val="100"/>
        <w:sz w:val="22"/>
        <w:szCs w:val="22"/>
        <w:lang w:val="en-GB" w:eastAsia="en-GB" w:bidi="en-GB"/>
      </w:rPr>
    </w:lvl>
    <w:lvl w:ilvl="1" w:tplc="FFF4F27E">
      <w:numFmt w:val="bullet"/>
      <w:lvlText w:val=""/>
      <w:lvlJc w:val="left"/>
      <w:pPr>
        <w:ind w:left="1479" w:hanging="361"/>
      </w:pPr>
      <w:rPr>
        <w:rFonts w:ascii="Symbol" w:eastAsia="Symbol" w:hAnsi="Symbol" w:cs="Symbol" w:hint="default"/>
        <w:w w:val="100"/>
        <w:sz w:val="22"/>
        <w:szCs w:val="22"/>
        <w:lang w:val="en-GB" w:eastAsia="en-GB" w:bidi="en-GB"/>
      </w:rPr>
    </w:lvl>
    <w:lvl w:ilvl="2" w:tplc="7B90E6FC">
      <w:numFmt w:val="bullet"/>
      <w:lvlText w:val="•"/>
      <w:lvlJc w:val="left"/>
      <w:pPr>
        <w:ind w:left="2574" w:hanging="361"/>
      </w:pPr>
      <w:rPr>
        <w:rFonts w:hint="default"/>
        <w:lang w:val="en-GB" w:eastAsia="en-GB" w:bidi="en-GB"/>
      </w:rPr>
    </w:lvl>
    <w:lvl w:ilvl="3" w:tplc="FE2EEFA8">
      <w:numFmt w:val="bullet"/>
      <w:lvlText w:val="•"/>
      <w:lvlJc w:val="left"/>
      <w:pPr>
        <w:ind w:left="3668" w:hanging="361"/>
      </w:pPr>
      <w:rPr>
        <w:rFonts w:hint="default"/>
        <w:lang w:val="en-GB" w:eastAsia="en-GB" w:bidi="en-GB"/>
      </w:rPr>
    </w:lvl>
    <w:lvl w:ilvl="4" w:tplc="940ABEF2">
      <w:numFmt w:val="bullet"/>
      <w:lvlText w:val="•"/>
      <w:lvlJc w:val="left"/>
      <w:pPr>
        <w:ind w:left="4762" w:hanging="361"/>
      </w:pPr>
      <w:rPr>
        <w:rFonts w:hint="default"/>
        <w:lang w:val="en-GB" w:eastAsia="en-GB" w:bidi="en-GB"/>
      </w:rPr>
    </w:lvl>
    <w:lvl w:ilvl="5" w:tplc="FA2C280C">
      <w:numFmt w:val="bullet"/>
      <w:lvlText w:val="•"/>
      <w:lvlJc w:val="left"/>
      <w:pPr>
        <w:ind w:left="5856" w:hanging="361"/>
      </w:pPr>
      <w:rPr>
        <w:rFonts w:hint="default"/>
        <w:lang w:val="en-GB" w:eastAsia="en-GB" w:bidi="en-GB"/>
      </w:rPr>
    </w:lvl>
    <w:lvl w:ilvl="6" w:tplc="D870F27C">
      <w:numFmt w:val="bullet"/>
      <w:lvlText w:val="•"/>
      <w:lvlJc w:val="left"/>
      <w:pPr>
        <w:ind w:left="6950" w:hanging="361"/>
      </w:pPr>
      <w:rPr>
        <w:rFonts w:hint="default"/>
        <w:lang w:val="en-GB" w:eastAsia="en-GB" w:bidi="en-GB"/>
      </w:rPr>
    </w:lvl>
    <w:lvl w:ilvl="7" w:tplc="2228CFFA">
      <w:numFmt w:val="bullet"/>
      <w:lvlText w:val="•"/>
      <w:lvlJc w:val="left"/>
      <w:pPr>
        <w:ind w:left="8044" w:hanging="361"/>
      </w:pPr>
      <w:rPr>
        <w:rFonts w:hint="default"/>
        <w:lang w:val="en-GB" w:eastAsia="en-GB" w:bidi="en-GB"/>
      </w:rPr>
    </w:lvl>
    <w:lvl w:ilvl="8" w:tplc="1FA20934">
      <w:numFmt w:val="bullet"/>
      <w:lvlText w:val="•"/>
      <w:lvlJc w:val="left"/>
      <w:pPr>
        <w:ind w:left="9138" w:hanging="361"/>
      </w:pPr>
      <w:rPr>
        <w:rFonts w:hint="default"/>
        <w:lang w:val="en-GB" w:eastAsia="en-GB" w:bidi="en-GB"/>
      </w:rPr>
    </w:lvl>
  </w:abstractNum>
  <w:abstractNum w:abstractNumId="7" w15:restartNumberingAfterBreak="0">
    <w:nsid w:val="3BD80D61"/>
    <w:multiLevelType w:val="hybridMultilevel"/>
    <w:tmpl w:val="CAF240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1080F3E"/>
    <w:multiLevelType w:val="hybridMultilevel"/>
    <w:tmpl w:val="D5FEF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420E00"/>
    <w:multiLevelType w:val="hybridMultilevel"/>
    <w:tmpl w:val="753A9BD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D332C3"/>
    <w:multiLevelType w:val="hybridMultilevel"/>
    <w:tmpl w:val="24CCF986"/>
    <w:lvl w:ilvl="0" w:tplc="0809000F">
      <w:start w:val="1"/>
      <w:numFmt w:val="decimal"/>
      <w:lvlText w:val="%1."/>
      <w:lvlJc w:val="left"/>
      <w:pPr>
        <w:ind w:left="786"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0477811"/>
    <w:multiLevelType w:val="hybridMultilevel"/>
    <w:tmpl w:val="F17849AE"/>
    <w:lvl w:ilvl="0" w:tplc="2ECC9050">
      <w:start w:val="1"/>
      <w:numFmt w:val="decimal"/>
      <w:pStyle w:val="Heading2"/>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6FFF680B"/>
    <w:multiLevelType w:val="hybridMultilevel"/>
    <w:tmpl w:val="915E5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0F09C7"/>
    <w:multiLevelType w:val="hybridMultilevel"/>
    <w:tmpl w:val="A574FC9C"/>
    <w:lvl w:ilvl="0" w:tplc="CA4A34B8">
      <w:numFmt w:val="bullet"/>
      <w:lvlText w:val=""/>
      <w:lvlJc w:val="left"/>
      <w:pPr>
        <w:ind w:left="1119" w:hanging="361"/>
      </w:pPr>
      <w:rPr>
        <w:rFonts w:ascii="Symbol" w:eastAsia="Symbol" w:hAnsi="Symbol" w:cs="Symbol" w:hint="default"/>
        <w:w w:val="100"/>
        <w:sz w:val="22"/>
        <w:szCs w:val="22"/>
        <w:lang w:val="en-GB" w:eastAsia="en-GB" w:bidi="en-G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715578"/>
    <w:multiLevelType w:val="hybridMultilevel"/>
    <w:tmpl w:val="43A48068"/>
    <w:lvl w:ilvl="0" w:tplc="32B83B1E">
      <w:start w:val="1"/>
      <w:numFmt w:val="bullet"/>
      <w:pStyle w:val="Reference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895966269">
    <w:abstractNumId w:val="11"/>
  </w:num>
  <w:num w:numId="2" w16cid:durableId="389427299">
    <w:abstractNumId w:val="14"/>
  </w:num>
  <w:num w:numId="3" w16cid:durableId="658383010">
    <w:abstractNumId w:val="7"/>
  </w:num>
  <w:num w:numId="4" w16cid:durableId="464855822">
    <w:abstractNumId w:val="0"/>
  </w:num>
  <w:num w:numId="5" w16cid:durableId="8409357">
    <w:abstractNumId w:val="3"/>
  </w:num>
  <w:num w:numId="6" w16cid:durableId="1784302338">
    <w:abstractNumId w:val="6"/>
  </w:num>
  <w:num w:numId="7" w16cid:durableId="1399017791">
    <w:abstractNumId w:val="2"/>
  </w:num>
  <w:num w:numId="8" w16cid:durableId="715738512">
    <w:abstractNumId w:val="12"/>
  </w:num>
  <w:num w:numId="9" w16cid:durableId="1823543521">
    <w:abstractNumId w:val="10"/>
  </w:num>
  <w:num w:numId="10" w16cid:durableId="1845432208">
    <w:abstractNumId w:val="9"/>
  </w:num>
  <w:num w:numId="11" w16cid:durableId="90899306">
    <w:abstractNumId w:val="4"/>
  </w:num>
  <w:num w:numId="12" w16cid:durableId="1456800914">
    <w:abstractNumId w:val="13"/>
  </w:num>
  <w:num w:numId="13" w16cid:durableId="1841966891">
    <w:abstractNumId w:val="8"/>
  </w:num>
  <w:num w:numId="14" w16cid:durableId="159321760">
    <w:abstractNumId w:val="5"/>
  </w:num>
  <w:num w:numId="15" w16cid:durableId="1779789527">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tc2mLHZZODy0QsX9ghrqQOrS0sSf916EfW9+KEgRM1c08V79qoXThZtITk4CxsoZ+3xgv1lvj1JpS0bVoTmeg==" w:salt="li9ouDNCNd64MmL3Obhkww=="/>
  <w:defaultTabStop w:val="720"/>
  <w:characterSpacingControl w:val="doNotCompress"/>
  <w:hdrShapeDefaults>
    <o:shapedefaults v:ext="edit" spidmax="2050"/>
  </w:hdrShapeDefaults>
  <w:footnotePr>
    <w:numFmt w:val="low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UzNDEwNbW0NAWS5ko6SsGpxcWZ+XkgBaa1AJeahIYsAAAA"/>
  </w:docVars>
  <w:rsids>
    <w:rsidRoot w:val="00E83C66"/>
    <w:rsid w:val="00003E35"/>
    <w:rsid w:val="00004610"/>
    <w:rsid w:val="00005FC7"/>
    <w:rsid w:val="00006013"/>
    <w:rsid w:val="00021009"/>
    <w:rsid w:val="00023A66"/>
    <w:rsid w:val="0002435C"/>
    <w:rsid w:val="00026645"/>
    <w:rsid w:val="00032724"/>
    <w:rsid w:val="00035AE8"/>
    <w:rsid w:val="00036678"/>
    <w:rsid w:val="00044DF9"/>
    <w:rsid w:val="00057CD1"/>
    <w:rsid w:val="00066042"/>
    <w:rsid w:val="00080627"/>
    <w:rsid w:val="00081A11"/>
    <w:rsid w:val="000950C8"/>
    <w:rsid w:val="000A0ECA"/>
    <w:rsid w:val="000A5804"/>
    <w:rsid w:val="000B18BF"/>
    <w:rsid w:val="000C6AC8"/>
    <w:rsid w:val="000D080C"/>
    <w:rsid w:val="000E2D8B"/>
    <w:rsid w:val="000F1A58"/>
    <w:rsid w:val="000F1BE5"/>
    <w:rsid w:val="000F318C"/>
    <w:rsid w:val="000F4219"/>
    <w:rsid w:val="000F48EC"/>
    <w:rsid w:val="000F53A2"/>
    <w:rsid w:val="000F5E8F"/>
    <w:rsid w:val="000F68E2"/>
    <w:rsid w:val="001026FB"/>
    <w:rsid w:val="001123BA"/>
    <w:rsid w:val="00115C23"/>
    <w:rsid w:val="001179FD"/>
    <w:rsid w:val="001208FF"/>
    <w:rsid w:val="00121344"/>
    <w:rsid w:val="001214B6"/>
    <w:rsid w:val="00127BC4"/>
    <w:rsid w:val="00135DDB"/>
    <w:rsid w:val="00141994"/>
    <w:rsid w:val="00142209"/>
    <w:rsid w:val="001432AE"/>
    <w:rsid w:val="00145164"/>
    <w:rsid w:val="00145D93"/>
    <w:rsid w:val="00146FEF"/>
    <w:rsid w:val="001479B1"/>
    <w:rsid w:val="00152265"/>
    <w:rsid w:val="00161742"/>
    <w:rsid w:val="0016513F"/>
    <w:rsid w:val="00165BA2"/>
    <w:rsid w:val="00170656"/>
    <w:rsid w:val="00173AC1"/>
    <w:rsid w:val="0017424B"/>
    <w:rsid w:val="001807C9"/>
    <w:rsid w:val="00180953"/>
    <w:rsid w:val="001835B7"/>
    <w:rsid w:val="001860C1"/>
    <w:rsid w:val="00190AC9"/>
    <w:rsid w:val="001939C7"/>
    <w:rsid w:val="001946BB"/>
    <w:rsid w:val="001948E2"/>
    <w:rsid w:val="0019640D"/>
    <w:rsid w:val="001A101D"/>
    <w:rsid w:val="001A4776"/>
    <w:rsid w:val="001A51F3"/>
    <w:rsid w:val="001B0E46"/>
    <w:rsid w:val="001B5F28"/>
    <w:rsid w:val="001B694A"/>
    <w:rsid w:val="001B6C1D"/>
    <w:rsid w:val="001C231A"/>
    <w:rsid w:val="001C246F"/>
    <w:rsid w:val="001C5F90"/>
    <w:rsid w:val="001D0EF0"/>
    <w:rsid w:val="001D2CF1"/>
    <w:rsid w:val="001D5D77"/>
    <w:rsid w:val="001E4A10"/>
    <w:rsid w:val="001E5484"/>
    <w:rsid w:val="001E5FB8"/>
    <w:rsid w:val="001E72DF"/>
    <w:rsid w:val="001F2BF8"/>
    <w:rsid w:val="001F4159"/>
    <w:rsid w:val="00200BBF"/>
    <w:rsid w:val="0020740C"/>
    <w:rsid w:val="00207EB4"/>
    <w:rsid w:val="00210168"/>
    <w:rsid w:val="00213B09"/>
    <w:rsid w:val="00214BDA"/>
    <w:rsid w:val="00224A5C"/>
    <w:rsid w:val="00236EDC"/>
    <w:rsid w:val="002415D5"/>
    <w:rsid w:val="0024547E"/>
    <w:rsid w:val="002477FF"/>
    <w:rsid w:val="00250BA1"/>
    <w:rsid w:val="00251EF7"/>
    <w:rsid w:val="002523EC"/>
    <w:rsid w:val="00261653"/>
    <w:rsid w:val="00262398"/>
    <w:rsid w:val="0027038D"/>
    <w:rsid w:val="00273B12"/>
    <w:rsid w:val="00274A7A"/>
    <w:rsid w:val="002811F3"/>
    <w:rsid w:val="0028454D"/>
    <w:rsid w:val="00290E5E"/>
    <w:rsid w:val="00295DA1"/>
    <w:rsid w:val="00297296"/>
    <w:rsid w:val="002A0803"/>
    <w:rsid w:val="002B0761"/>
    <w:rsid w:val="002B18B7"/>
    <w:rsid w:val="002B318E"/>
    <w:rsid w:val="002B3796"/>
    <w:rsid w:val="002B45DB"/>
    <w:rsid w:val="002C26E0"/>
    <w:rsid w:val="002C3506"/>
    <w:rsid w:val="002C4029"/>
    <w:rsid w:val="002C5BE2"/>
    <w:rsid w:val="002C5EE8"/>
    <w:rsid w:val="002D1A25"/>
    <w:rsid w:val="002D4BB4"/>
    <w:rsid w:val="002E2BA7"/>
    <w:rsid w:val="002F2DEA"/>
    <w:rsid w:val="002F47EB"/>
    <w:rsid w:val="002F6F07"/>
    <w:rsid w:val="00302122"/>
    <w:rsid w:val="00303331"/>
    <w:rsid w:val="0030335E"/>
    <w:rsid w:val="003036A6"/>
    <w:rsid w:val="00306E44"/>
    <w:rsid w:val="00310ABE"/>
    <w:rsid w:val="00310E09"/>
    <w:rsid w:val="00316F74"/>
    <w:rsid w:val="00320AAD"/>
    <w:rsid w:val="00323120"/>
    <w:rsid w:val="003249D2"/>
    <w:rsid w:val="003263E8"/>
    <w:rsid w:val="003268BD"/>
    <w:rsid w:val="00326BD8"/>
    <w:rsid w:val="003310A9"/>
    <w:rsid w:val="00333A28"/>
    <w:rsid w:val="0034160F"/>
    <w:rsid w:val="00341D88"/>
    <w:rsid w:val="0034215C"/>
    <w:rsid w:val="00343C0A"/>
    <w:rsid w:val="003467F7"/>
    <w:rsid w:val="00352F67"/>
    <w:rsid w:val="003552BC"/>
    <w:rsid w:val="003558F4"/>
    <w:rsid w:val="00357272"/>
    <w:rsid w:val="00357F6B"/>
    <w:rsid w:val="00360805"/>
    <w:rsid w:val="00360FFA"/>
    <w:rsid w:val="00361167"/>
    <w:rsid w:val="00361FB3"/>
    <w:rsid w:val="0037246E"/>
    <w:rsid w:val="0037508C"/>
    <w:rsid w:val="00375C79"/>
    <w:rsid w:val="00386DAA"/>
    <w:rsid w:val="003931A7"/>
    <w:rsid w:val="0039379F"/>
    <w:rsid w:val="0039672B"/>
    <w:rsid w:val="003A3E5F"/>
    <w:rsid w:val="003A4127"/>
    <w:rsid w:val="003A4B07"/>
    <w:rsid w:val="003B2C2F"/>
    <w:rsid w:val="003B3F51"/>
    <w:rsid w:val="003B5125"/>
    <w:rsid w:val="003C21D1"/>
    <w:rsid w:val="003C2558"/>
    <w:rsid w:val="003C2CA2"/>
    <w:rsid w:val="003D2022"/>
    <w:rsid w:val="003D3222"/>
    <w:rsid w:val="003D53B2"/>
    <w:rsid w:val="003E5AD7"/>
    <w:rsid w:val="003E7840"/>
    <w:rsid w:val="003F2C46"/>
    <w:rsid w:val="003F440F"/>
    <w:rsid w:val="003F646D"/>
    <w:rsid w:val="003F7161"/>
    <w:rsid w:val="00400E02"/>
    <w:rsid w:val="0040159E"/>
    <w:rsid w:val="004024D1"/>
    <w:rsid w:val="00403F47"/>
    <w:rsid w:val="0041005A"/>
    <w:rsid w:val="004114D6"/>
    <w:rsid w:val="00413F90"/>
    <w:rsid w:val="0041687B"/>
    <w:rsid w:val="00420944"/>
    <w:rsid w:val="00421851"/>
    <w:rsid w:val="004302D1"/>
    <w:rsid w:val="00432CCD"/>
    <w:rsid w:val="00440B9B"/>
    <w:rsid w:val="0044347D"/>
    <w:rsid w:val="004438CF"/>
    <w:rsid w:val="00447C21"/>
    <w:rsid w:val="00462329"/>
    <w:rsid w:val="00471907"/>
    <w:rsid w:val="00485359"/>
    <w:rsid w:val="004864D7"/>
    <w:rsid w:val="004912A2"/>
    <w:rsid w:val="00492BBF"/>
    <w:rsid w:val="004968DC"/>
    <w:rsid w:val="004A28EF"/>
    <w:rsid w:val="004A4D94"/>
    <w:rsid w:val="004A5F57"/>
    <w:rsid w:val="004B05FA"/>
    <w:rsid w:val="004B0AE1"/>
    <w:rsid w:val="004B25D8"/>
    <w:rsid w:val="004B6FA7"/>
    <w:rsid w:val="004B7BBD"/>
    <w:rsid w:val="004C0D86"/>
    <w:rsid w:val="004C2598"/>
    <w:rsid w:val="004C31F8"/>
    <w:rsid w:val="004C7302"/>
    <w:rsid w:val="004D00A3"/>
    <w:rsid w:val="004D46F6"/>
    <w:rsid w:val="004D5B8A"/>
    <w:rsid w:val="004E0633"/>
    <w:rsid w:val="004E5EB8"/>
    <w:rsid w:val="004F2781"/>
    <w:rsid w:val="00502B61"/>
    <w:rsid w:val="005058DE"/>
    <w:rsid w:val="00505ECA"/>
    <w:rsid w:val="0051526F"/>
    <w:rsid w:val="00515CB1"/>
    <w:rsid w:val="00517DC6"/>
    <w:rsid w:val="00521A7D"/>
    <w:rsid w:val="00521D64"/>
    <w:rsid w:val="005221E5"/>
    <w:rsid w:val="005221EF"/>
    <w:rsid w:val="005228A2"/>
    <w:rsid w:val="0053459F"/>
    <w:rsid w:val="00535162"/>
    <w:rsid w:val="0053551A"/>
    <w:rsid w:val="00537F63"/>
    <w:rsid w:val="00541CF7"/>
    <w:rsid w:val="005432DD"/>
    <w:rsid w:val="00545443"/>
    <w:rsid w:val="00547308"/>
    <w:rsid w:val="00547AA5"/>
    <w:rsid w:val="0055256C"/>
    <w:rsid w:val="00561F39"/>
    <w:rsid w:val="00565352"/>
    <w:rsid w:val="00565697"/>
    <w:rsid w:val="00572DB9"/>
    <w:rsid w:val="0057400B"/>
    <w:rsid w:val="00581703"/>
    <w:rsid w:val="00587B31"/>
    <w:rsid w:val="00592565"/>
    <w:rsid w:val="0059282E"/>
    <w:rsid w:val="005A5F28"/>
    <w:rsid w:val="005A633C"/>
    <w:rsid w:val="005A7119"/>
    <w:rsid w:val="005B3A44"/>
    <w:rsid w:val="005B4BAE"/>
    <w:rsid w:val="005B66AB"/>
    <w:rsid w:val="005B7F7A"/>
    <w:rsid w:val="005D05B1"/>
    <w:rsid w:val="005D105B"/>
    <w:rsid w:val="005D27FE"/>
    <w:rsid w:val="005D416F"/>
    <w:rsid w:val="005D56F3"/>
    <w:rsid w:val="005D75B4"/>
    <w:rsid w:val="005D79FA"/>
    <w:rsid w:val="005D7AF2"/>
    <w:rsid w:val="005E6901"/>
    <w:rsid w:val="005F346E"/>
    <w:rsid w:val="005F3D83"/>
    <w:rsid w:val="006027F5"/>
    <w:rsid w:val="00604D72"/>
    <w:rsid w:val="00613294"/>
    <w:rsid w:val="006179D7"/>
    <w:rsid w:val="0062204F"/>
    <w:rsid w:val="006247FA"/>
    <w:rsid w:val="00626457"/>
    <w:rsid w:val="00635722"/>
    <w:rsid w:val="00641F7D"/>
    <w:rsid w:val="00643FC9"/>
    <w:rsid w:val="00644539"/>
    <w:rsid w:val="00647492"/>
    <w:rsid w:val="0065253F"/>
    <w:rsid w:val="0065325B"/>
    <w:rsid w:val="00656044"/>
    <w:rsid w:val="00661A75"/>
    <w:rsid w:val="006706F6"/>
    <w:rsid w:val="006837B0"/>
    <w:rsid w:val="0068384A"/>
    <w:rsid w:val="00683C92"/>
    <w:rsid w:val="0068627A"/>
    <w:rsid w:val="006876AB"/>
    <w:rsid w:val="00692AD5"/>
    <w:rsid w:val="00694531"/>
    <w:rsid w:val="00696EFE"/>
    <w:rsid w:val="006A333F"/>
    <w:rsid w:val="006A6B10"/>
    <w:rsid w:val="006B7253"/>
    <w:rsid w:val="006B7712"/>
    <w:rsid w:val="006C3870"/>
    <w:rsid w:val="006D277B"/>
    <w:rsid w:val="006E062E"/>
    <w:rsid w:val="006E19BA"/>
    <w:rsid w:val="006E5307"/>
    <w:rsid w:val="006E72EF"/>
    <w:rsid w:val="006F1403"/>
    <w:rsid w:val="006F2BD8"/>
    <w:rsid w:val="006F5C79"/>
    <w:rsid w:val="007015BE"/>
    <w:rsid w:val="00703459"/>
    <w:rsid w:val="007039EB"/>
    <w:rsid w:val="007071ED"/>
    <w:rsid w:val="00716C9C"/>
    <w:rsid w:val="00721E7A"/>
    <w:rsid w:val="007333E4"/>
    <w:rsid w:val="0073466F"/>
    <w:rsid w:val="00743437"/>
    <w:rsid w:val="00747226"/>
    <w:rsid w:val="00747D63"/>
    <w:rsid w:val="007525E6"/>
    <w:rsid w:val="0075574A"/>
    <w:rsid w:val="00756EF7"/>
    <w:rsid w:val="00761FA3"/>
    <w:rsid w:val="00767B99"/>
    <w:rsid w:val="00776295"/>
    <w:rsid w:val="0078680E"/>
    <w:rsid w:val="0079308C"/>
    <w:rsid w:val="007A245A"/>
    <w:rsid w:val="007A2F8D"/>
    <w:rsid w:val="007A3942"/>
    <w:rsid w:val="007A4CEB"/>
    <w:rsid w:val="007A56FB"/>
    <w:rsid w:val="007A6AB9"/>
    <w:rsid w:val="007A6C56"/>
    <w:rsid w:val="007A703C"/>
    <w:rsid w:val="007D0860"/>
    <w:rsid w:val="007D49ED"/>
    <w:rsid w:val="007D736A"/>
    <w:rsid w:val="007F2776"/>
    <w:rsid w:val="007F3FEB"/>
    <w:rsid w:val="007F5A80"/>
    <w:rsid w:val="007F76B7"/>
    <w:rsid w:val="0080432B"/>
    <w:rsid w:val="0081160F"/>
    <w:rsid w:val="00812579"/>
    <w:rsid w:val="00813FDD"/>
    <w:rsid w:val="00824D10"/>
    <w:rsid w:val="00833F23"/>
    <w:rsid w:val="00834811"/>
    <w:rsid w:val="0083681D"/>
    <w:rsid w:val="00850521"/>
    <w:rsid w:val="0085244E"/>
    <w:rsid w:val="00854C79"/>
    <w:rsid w:val="00855246"/>
    <w:rsid w:val="00855D13"/>
    <w:rsid w:val="00857AF2"/>
    <w:rsid w:val="00857D13"/>
    <w:rsid w:val="008634F2"/>
    <w:rsid w:val="00864066"/>
    <w:rsid w:val="00865161"/>
    <w:rsid w:val="00870582"/>
    <w:rsid w:val="008721EC"/>
    <w:rsid w:val="008744ED"/>
    <w:rsid w:val="008828B4"/>
    <w:rsid w:val="008875AD"/>
    <w:rsid w:val="00890C0E"/>
    <w:rsid w:val="00891257"/>
    <w:rsid w:val="0089223A"/>
    <w:rsid w:val="00893011"/>
    <w:rsid w:val="0089560C"/>
    <w:rsid w:val="008A1C28"/>
    <w:rsid w:val="008A7289"/>
    <w:rsid w:val="008A7788"/>
    <w:rsid w:val="008C13B9"/>
    <w:rsid w:val="008C5DE7"/>
    <w:rsid w:val="008C6935"/>
    <w:rsid w:val="008C732D"/>
    <w:rsid w:val="008C759F"/>
    <w:rsid w:val="008C7656"/>
    <w:rsid w:val="008D52D9"/>
    <w:rsid w:val="008D5EE7"/>
    <w:rsid w:val="008D6C16"/>
    <w:rsid w:val="008E223E"/>
    <w:rsid w:val="008E2B62"/>
    <w:rsid w:val="008F6069"/>
    <w:rsid w:val="008F6407"/>
    <w:rsid w:val="008F7C48"/>
    <w:rsid w:val="009017A2"/>
    <w:rsid w:val="00904B9E"/>
    <w:rsid w:val="009054F3"/>
    <w:rsid w:val="00913319"/>
    <w:rsid w:val="00913C81"/>
    <w:rsid w:val="00914836"/>
    <w:rsid w:val="00915E09"/>
    <w:rsid w:val="00921203"/>
    <w:rsid w:val="0092446D"/>
    <w:rsid w:val="00924D4C"/>
    <w:rsid w:val="00925D95"/>
    <w:rsid w:val="0093064C"/>
    <w:rsid w:val="009331B2"/>
    <w:rsid w:val="00934454"/>
    <w:rsid w:val="00934919"/>
    <w:rsid w:val="0094328F"/>
    <w:rsid w:val="00944F42"/>
    <w:rsid w:val="00946787"/>
    <w:rsid w:val="009510E4"/>
    <w:rsid w:val="00952F29"/>
    <w:rsid w:val="0095396C"/>
    <w:rsid w:val="00954922"/>
    <w:rsid w:val="00955587"/>
    <w:rsid w:val="009555DC"/>
    <w:rsid w:val="0096376B"/>
    <w:rsid w:val="0096381D"/>
    <w:rsid w:val="00963F83"/>
    <w:rsid w:val="00970684"/>
    <w:rsid w:val="00971FA7"/>
    <w:rsid w:val="00972284"/>
    <w:rsid w:val="009727D6"/>
    <w:rsid w:val="00974382"/>
    <w:rsid w:val="00977019"/>
    <w:rsid w:val="00977956"/>
    <w:rsid w:val="009827DB"/>
    <w:rsid w:val="00983558"/>
    <w:rsid w:val="0098487D"/>
    <w:rsid w:val="00986A4A"/>
    <w:rsid w:val="00986C24"/>
    <w:rsid w:val="00987128"/>
    <w:rsid w:val="00990069"/>
    <w:rsid w:val="0099141A"/>
    <w:rsid w:val="00993357"/>
    <w:rsid w:val="00997659"/>
    <w:rsid w:val="009A1A10"/>
    <w:rsid w:val="009A1C3A"/>
    <w:rsid w:val="009A2B89"/>
    <w:rsid w:val="009A325F"/>
    <w:rsid w:val="009B21F3"/>
    <w:rsid w:val="009C34A6"/>
    <w:rsid w:val="009C3964"/>
    <w:rsid w:val="009C64D5"/>
    <w:rsid w:val="009C7155"/>
    <w:rsid w:val="009D28E8"/>
    <w:rsid w:val="009D3C59"/>
    <w:rsid w:val="009D5234"/>
    <w:rsid w:val="009E2543"/>
    <w:rsid w:val="009E2C50"/>
    <w:rsid w:val="009E48D1"/>
    <w:rsid w:val="009E7120"/>
    <w:rsid w:val="009E76E0"/>
    <w:rsid w:val="009F106E"/>
    <w:rsid w:val="009F147B"/>
    <w:rsid w:val="009F2FB2"/>
    <w:rsid w:val="009F3CD7"/>
    <w:rsid w:val="009F495B"/>
    <w:rsid w:val="009F60DF"/>
    <w:rsid w:val="009F6684"/>
    <w:rsid w:val="00A00E16"/>
    <w:rsid w:val="00A05105"/>
    <w:rsid w:val="00A07375"/>
    <w:rsid w:val="00A23014"/>
    <w:rsid w:val="00A238E8"/>
    <w:rsid w:val="00A34E93"/>
    <w:rsid w:val="00A34F87"/>
    <w:rsid w:val="00A358C8"/>
    <w:rsid w:val="00A44140"/>
    <w:rsid w:val="00A51C33"/>
    <w:rsid w:val="00A6073B"/>
    <w:rsid w:val="00A62C68"/>
    <w:rsid w:val="00A75F2A"/>
    <w:rsid w:val="00A7767F"/>
    <w:rsid w:val="00A779AC"/>
    <w:rsid w:val="00A866B1"/>
    <w:rsid w:val="00A87E4E"/>
    <w:rsid w:val="00A93496"/>
    <w:rsid w:val="00A94951"/>
    <w:rsid w:val="00AA054A"/>
    <w:rsid w:val="00AA1494"/>
    <w:rsid w:val="00AA2DB4"/>
    <w:rsid w:val="00AA77AA"/>
    <w:rsid w:val="00AB5625"/>
    <w:rsid w:val="00AB5FFA"/>
    <w:rsid w:val="00AC5441"/>
    <w:rsid w:val="00AD29EE"/>
    <w:rsid w:val="00AE0E89"/>
    <w:rsid w:val="00AE6B64"/>
    <w:rsid w:val="00AF3702"/>
    <w:rsid w:val="00AF6D9B"/>
    <w:rsid w:val="00B00BA2"/>
    <w:rsid w:val="00B02888"/>
    <w:rsid w:val="00B1162A"/>
    <w:rsid w:val="00B140AC"/>
    <w:rsid w:val="00B211F5"/>
    <w:rsid w:val="00B2333B"/>
    <w:rsid w:val="00B26BC0"/>
    <w:rsid w:val="00B32818"/>
    <w:rsid w:val="00B34E46"/>
    <w:rsid w:val="00B37609"/>
    <w:rsid w:val="00B448FF"/>
    <w:rsid w:val="00B57456"/>
    <w:rsid w:val="00B6299D"/>
    <w:rsid w:val="00B6423F"/>
    <w:rsid w:val="00B65EA3"/>
    <w:rsid w:val="00B7076B"/>
    <w:rsid w:val="00B71208"/>
    <w:rsid w:val="00B71E59"/>
    <w:rsid w:val="00B73F57"/>
    <w:rsid w:val="00B802D9"/>
    <w:rsid w:val="00B8340C"/>
    <w:rsid w:val="00B87200"/>
    <w:rsid w:val="00B90467"/>
    <w:rsid w:val="00B917CE"/>
    <w:rsid w:val="00B91827"/>
    <w:rsid w:val="00BA0DFC"/>
    <w:rsid w:val="00BA2628"/>
    <w:rsid w:val="00BA47E9"/>
    <w:rsid w:val="00BA5689"/>
    <w:rsid w:val="00BA59D4"/>
    <w:rsid w:val="00BB4167"/>
    <w:rsid w:val="00BB50BD"/>
    <w:rsid w:val="00BC10C0"/>
    <w:rsid w:val="00BD10CB"/>
    <w:rsid w:val="00BD117A"/>
    <w:rsid w:val="00BD16EA"/>
    <w:rsid w:val="00BE0C8B"/>
    <w:rsid w:val="00BE22FC"/>
    <w:rsid w:val="00BE36F4"/>
    <w:rsid w:val="00BE4C72"/>
    <w:rsid w:val="00BE5095"/>
    <w:rsid w:val="00BE5563"/>
    <w:rsid w:val="00BE765E"/>
    <w:rsid w:val="00BF1406"/>
    <w:rsid w:val="00BF174A"/>
    <w:rsid w:val="00BF634E"/>
    <w:rsid w:val="00C013FB"/>
    <w:rsid w:val="00C035A7"/>
    <w:rsid w:val="00C047D6"/>
    <w:rsid w:val="00C068F7"/>
    <w:rsid w:val="00C06D95"/>
    <w:rsid w:val="00C078A8"/>
    <w:rsid w:val="00C10A49"/>
    <w:rsid w:val="00C15C81"/>
    <w:rsid w:val="00C2040F"/>
    <w:rsid w:val="00C3123A"/>
    <w:rsid w:val="00C31D4E"/>
    <w:rsid w:val="00C31FE5"/>
    <w:rsid w:val="00C3262E"/>
    <w:rsid w:val="00C40F67"/>
    <w:rsid w:val="00C54C9D"/>
    <w:rsid w:val="00C57AE2"/>
    <w:rsid w:val="00C63756"/>
    <w:rsid w:val="00C64E95"/>
    <w:rsid w:val="00C65E8A"/>
    <w:rsid w:val="00C72861"/>
    <w:rsid w:val="00C77A63"/>
    <w:rsid w:val="00C850F3"/>
    <w:rsid w:val="00C85274"/>
    <w:rsid w:val="00C94B7A"/>
    <w:rsid w:val="00C95F55"/>
    <w:rsid w:val="00C95FCE"/>
    <w:rsid w:val="00C97EE8"/>
    <w:rsid w:val="00CA1513"/>
    <w:rsid w:val="00CA2328"/>
    <w:rsid w:val="00CA706A"/>
    <w:rsid w:val="00CA7519"/>
    <w:rsid w:val="00CB0F04"/>
    <w:rsid w:val="00CB457C"/>
    <w:rsid w:val="00CB5E9C"/>
    <w:rsid w:val="00CB5ECE"/>
    <w:rsid w:val="00CB6622"/>
    <w:rsid w:val="00CC4648"/>
    <w:rsid w:val="00CC4B76"/>
    <w:rsid w:val="00CD41C1"/>
    <w:rsid w:val="00CD622A"/>
    <w:rsid w:val="00CE22D1"/>
    <w:rsid w:val="00CE3AEF"/>
    <w:rsid w:val="00CE744B"/>
    <w:rsid w:val="00CF1121"/>
    <w:rsid w:val="00CF42CA"/>
    <w:rsid w:val="00CF5D14"/>
    <w:rsid w:val="00D02793"/>
    <w:rsid w:val="00D03A33"/>
    <w:rsid w:val="00D04CA9"/>
    <w:rsid w:val="00D0560B"/>
    <w:rsid w:val="00D06813"/>
    <w:rsid w:val="00D13A1C"/>
    <w:rsid w:val="00D21244"/>
    <w:rsid w:val="00D24F9E"/>
    <w:rsid w:val="00D25636"/>
    <w:rsid w:val="00D31D08"/>
    <w:rsid w:val="00D324D4"/>
    <w:rsid w:val="00D3299B"/>
    <w:rsid w:val="00D32FCD"/>
    <w:rsid w:val="00D35741"/>
    <w:rsid w:val="00D435FB"/>
    <w:rsid w:val="00D5030F"/>
    <w:rsid w:val="00D51C91"/>
    <w:rsid w:val="00D55E30"/>
    <w:rsid w:val="00D565E0"/>
    <w:rsid w:val="00D61801"/>
    <w:rsid w:val="00D62E9D"/>
    <w:rsid w:val="00D6465A"/>
    <w:rsid w:val="00D646C2"/>
    <w:rsid w:val="00D6471C"/>
    <w:rsid w:val="00D6535F"/>
    <w:rsid w:val="00D74571"/>
    <w:rsid w:val="00D763A0"/>
    <w:rsid w:val="00D80BC7"/>
    <w:rsid w:val="00D83656"/>
    <w:rsid w:val="00D84DEF"/>
    <w:rsid w:val="00D85A4D"/>
    <w:rsid w:val="00D91957"/>
    <w:rsid w:val="00D94606"/>
    <w:rsid w:val="00D94A7F"/>
    <w:rsid w:val="00DA207D"/>
    <w:rsid w:val="00DA43EF"/>
    <w:rsid w:val="00DA50AB"/>
    <w:rsid w:val="00DA56BA"/>
    <w:rsid w:val="00DA6373"/>
    <w:rsid w:val="00DA6898"/>
    <w:rsid w:val="00DB1904"/>
    <w:rsid w:val="00DB410F"/>
    <w:rsid w:val="00DB4462"/>
    <w:rsid w:val="00DB7BE4"/>
    <w:rsid w:val="00DC56F7"/>
    <w:rsid w:val="00DC6BC1"/>
    <w:rsid w:val="00DD1964"/>
    <w:rsid w:val="00DD3EC9"/>
    <w:rsid w:val="00DD72FD"/>
    <w:rsid w:val="00DE4EDB"/>
    <w:rsid w:val="00DE5F0F"/>
    <w:rsid w:val="00DF2B32"/>
    <w:rsid w:val="00DF53DC"/>
    <w:rsid w:val="00DF546B"/>
    <w:rsid w:val="00E00135"/>
    <w:rsid w:val="00E02748"/>
    <w:rsid w:val="00E02EB3"/>
    <w:rsid w:val="00E237BF"/>
    <w:rsid w:val="00E26932"/>
    <w:rsid w:val="00E274D4"/>
    <w:rsid w:val="00E40774"/>
    <w:rsid w:val="00E41DC1"/>
    <w:rsid w:val="00E45F49"/>
    <w:rsid w:val="00E464CB"/>
    <w:rsid w:val="00E46D73"/>
    <w:rsid w:val="00E531DD"/>
    <w:rsid w:val="00E555A2"/>
    <w:rsid w:val="00E57F18"/>
    <w:rsid w:val="00E6086E"/>
    <w:rsid w:val="00E67648"/>
    <w:rsid w:val="00E70B23"/>
    <w:rsid w:val="00E72BD0"/>
    <w:rsid w:val="00E7566C"/>
    <w:rsid w:val="00E768F3"/>
    <w:rsid w:val="00E77E1C"/>
    <w:rsid w:val="00E83C66"/>
    <w:rsid w:val="00E933BF"/>
    <w:rsid w:val="00E95339"/>
    <w:rsid w:val="00E95526"/>
    <w:rsid w:val="00E95F69"/>
    <w:rsid w:val="00EA5CA5"/>
    <w:rsid w:val="00EA5E54"/>
    <w:rsid w:val="00EA6E66"/>
    <w:rsid w:val="00EA78BB"/>
    <w:rsid w:val="00EB33A1"/>
    <w:rsid w:val="00EB6B62"/>
    <w:rsid w:val="00EB6ECF"/>
    <w:rsid w:val="00EC0326"/>
    <w:rsid w:val="00EC3273"/>
    <w:rsid w:val="00EC32AE"/>
    <w:rsid w:val="00EC60A1"/>
    <w:rsid w:val="00EC6389"/>
    <w:rsid w:val="00EC702D"/>
    <w:rsid w:val="00ED2366"/>
    <w:rsid w:val="00ED6E22"/>
    <w:rsid w:val="00ED7060"/>
    <w:rsid w:val="00ED7968"/>
    <w:rsid w:val="00ED7C8A"/>
    <w:rsid w:val="00EE22F5"/>
    <w:rsid w:val="00EE3527"/>
    <w:rsid w:val="00EE3DFC"/>
    <w:rsid w:val="00EE51EC"/>
    <w:rsid w:val="00EE6A28"/>
    <w:rsid w:val="00EF0329"/>
    <w:rsid w:val="00EF0D5B"/>
    <w:rsid w:val="00EF1CF5"/>
    <w:rsid w:val="00EF31C2"/>
    <w:rsid w:val="00EF4A47"/>
    <w:rsid w:val="00EF71D5"/>
    <w:rsid w:val="00F02A8A"/>
    <w:rsid w:val="00F10F0C"/>
    <w:rsid w:val="00F12BB5"/>
    <w:rsid w:val="00F132AA"/>
    <w:rsid w:val="00F24018"/>
    <w:rsid w:val="00F2717B"/>
    <w:rsid w:val="00F321FC"/>
    <w:rsid w:val="00F32478"/>
    <w:rsid w:val="00F34C5E"/>
    <w:rsid w:val="00F37647"/>
    <w:rsid w:val="00F4137E"/>
    <w:rsid w:val="00F42B3C"/>
    <w:rsid w:val="00F42E9B"/>
    <w:rsid w:val="00F43222"/>
    <w:rsid w:val="00F465B4"/>
    <w:rsid w:val="00F54268"/>
    <w:rsid w:val="00F556DE"/>
    <w:rsid w:val="00F55F23"/>
    <w:rsid w:val="00F566BB"/>
    <w:rsid w:val="00F57B58"/>
    <w:rsid w:val="00F6247F"/>
    <w:rsid w:val="00F64ED9"/>
    <w:rsid w:val="00F66DA7"/>
    <w:rsid w:val="00F70696"/>
    <w:rsid w:val="00F71253"/>
    <w:rsid w:val="00F7127C"/>
    <w:rsid w:val="00F7144C"/>
    <w:rsid w:val="00F863CC"/>
    <w:rsid w:val="00F90DA7"/>
    <w:rsid w:val="00F947B3"/>
    <w:rsid w:val="00FA1C34"/>
    <w:rsid w:val="00FA30F5"/>
    <w:rsid w:val="00FA5C0B"/>
    <w:rsid w:val="00FB404F"/>
    <w:rsid w:val="00FB49CB"/>
    <w:rsid w:val="00FD6D26"/>
    <w:rsid w:val="00FE3EEF"/>
    <w:rsid w:val="00FE6F5A"/>
    <w:rsid w:val="00FE7024"/>
    <w:rsid w:val="00FE727F"/>
    <w:rsid w:val="00FF2DA0"/>
    <w:rsid w:val="00FF2F68"/>
    <w:rsid w:val="00FF4964"/>
    <w:rsid w:val="00FF56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FB3C3"/>
  <w15:docId w15:val="{0CCAE2AD-EF65-486E-A33A-A69B7864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77FF"/>
    <w:pPr>
      <w:spacing w:before="60" w:after="60"/>
    </w:pPr>
    <w:rPr>
      <w:rFonts w:ascii="Arial" w:hAnsi="Arial"/>
    </w:rPr>
  </w:style>
  <w:style w:type="paragraph" w:styleId="Heading1">
    <w:name w:val="heading 1"/>
    <w:basedOn w:val="Header"/>
    <w:next w:val="Normal"/>
    <w:link w:val="Heading1Char"/>
    <w:uiPriority w:val="9"/>
    <w:qFormat/>
    <w:rsid w:val="001179FD"/>
    <w:pPr>
      <w:spacing w:after="0"/>
      <w:outlineLvl w:val="0"/>
    </w:pPr>
    <w:rPr>
      <w:b/>
      <w:bCs/>
      <w:sz w:val="44"/>
      <w:szCs w:val="44"/>
    </w:rPr>
  </w:style>
  <w:style w:type="paragraph" w:styleId="Heading2">
    <w:name w:val="heading 2"/>
    <w:basedOn w:val="Normal"/>
    <w:next w:val="Normal"/>
    <w:link w:val="Heading2Char"/>
    <w:uiPriority w:val="9"/>
    <w:unhideWhenUsed/>
    <w:qFormat/>
    <w:rsid w:val="00ED2366"/>
    <w:pPr>
      <w:keepLines/>
      <w:numPr>
        <w:numId w:val="1"/>
      </w:numPr>
      <w:spacing w:before="40" w:after="0"/>
      <w:ind w:left="357" w:hanging="357"/>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6B7253"/>
    <w:pPr>
      <w:keepNext/>
      <w:keepLines/>
      <w:spacing w:before="40" w:after="0"/>
      <w:outlineLvl w:val="2"/>
    </w:pPr>
    <w:rPr>
      <w:rFonts w:eastAsiaTheme="majorEastAsia" w:cstheme="majorBidi"/>
      <w:b/>
      <w:szCs w:val="24"/>
      <w:u w:val="single"/>
    </w:rPr>
  </w:style>
  <w:style w:type="paragraph" w:styleId="Heading4">
    <w:name w:val="heading 4"/>
    <w:basedOn w:val="Normal"/>
    <w:next w:val="Normal"/>
    <w:link w:val="Heading4Char"/>
    <w:uiPriority w:val="9"/>
    <w:unhideWhenUsed/>
    <w:qFormat/>
    <w:rsid w:val="006B7253"/>
    <w:pPr>
      <w:keepNext/>
      <w:keepLines/>
      <w:spacing w:before="40" w:after="0"/>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6407"/>
    <w:pPr>
      <w:tabs>
        <w:tab w:val="right" w:pos="10433"/>
      </w:tabs>
      <w:spacing w:after="120" w:line="240" w:lineRule="auto"/>
    </w:pPr>
  </w:style>
  <w:style w:type="character" w:customStyle="1" w:styleId="HeaderChar">
    <w:name w:val="Header Char"/>
    <w:basedOn w:val="DefaultParagraphFont"/>
    <w:link w:val="Header"/>
    <w:uiPriority w:val="99"/>
    <w:rsid w:val="008F6407"/>
  </w:style>
  <w:style w:type="paragraph" w:styleId="Footer">
    <w:name w:val="footer"/>
    <w:basedOn w:val="Normal"/>
    <w:link w:val="FooterChar"/>
    <w:uiPriority w:val="99"/>
    <w:unhideWhenUsed/>
    <w:rsid w:val="00003E35"/>
    <w:pPr>
      <w:tabs>
        <w:tab w:val="center" w:pos="8051"/>
        <w:tab w:val="right" w:pos="10433"/>
      </w:tabs>
      <w:spacing w:before="120" w:after="0" w:line="240" w:lineRule="auto"/>
      <w:contextualSpacing/>
    </w:pPr>
    <w:rPr>
      <w:sz w:val="20"/>
      <w:szCs w:val="20"/>
    </w:rPr>
  </w:style>
  <w:style w:type="character" w:customStyle="1" w:styleId="FooterChar">
    <w:name w:val="Footer Char"/>
    <w:basedOn w:val="DefaultParagraphFont"/>
    <w:link w:val="Footer"/>
    <w:uiPriority w:val="99"/>
    <w:rsid w:val="00003E35"/>
    <w:rPr>
      <w:rFonts w:ascii="Arial" w:hAnsi="Arial"/>
      <w:sz w:val="20"/>
      <w:szCs w:val="20"/>
    </w:rPr>
  </w:style>
  <w:style w:type="paragraph" w:customStyle="1" w:styleId="References">
    <w:name w:val="References"/>
    <w:basedOn w:val="ListParagraph"/>
    <w:qFormat/>
    <w:rsid w:val="00A34F87"/>
    <w:pPr>
      <w:numPr>
        <w:numId w:val="2"/>
      </w:numPr>
      <w:spacing w:after="0" w:line="240" w:lineRule="auto"/>
    </w:pPr>
  </w:style>
  <w:style w:type="character" w:styleId="Strong">
    <w:name w:val="Strong"/>
    <w:basedOn w:val="DefaultParagraphFont"/>
    <w:uiPriority w:val="22"/>
    <w:qFormat/>
    <w:rsid w:val="00E83C66"/>
    <w:rPr>
      <w:b/>
      <w:bCs/>
    </w:rPr>
  </w:style>
  <w:style w:type="character" w:styleId="FollowedHyperlink">
    <w:name w:val="FollowedHyperlink"/>
    <w:basedOn w:val="DefaultParagraphFont"/>
    <w:uiPriority w:val="99"/>
    <w:semiHidden/>
    <w:unhideWhenUsed/>
    <w:rsid w:val="00747226"/>
    <w:rPr>
      <w:color w:val="954F72" w:themeColor="followedHyperlink"/>
      <w:u w:val="single"/>
    </w:rPr>
  </w:style>
  <w:style w:type="table" w:styleId="TableGrid">
    <w:name w:val="Table Grid"/>
    <w:basedOn w:val="TableNormal"/>
    <w:uiPriority w:val="59"/>
    <w:rsid w:val="00BB50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ED2366"/>
    <w:rPr>
      <w:rFonts w:ascii="Arial" w:eastAsiaTheme="majorEastAsia" w:hAnsi="Arial" w:cstheme="majorBidi"/>
      <w:b/>
      <w:szCs w:val="26"/>
    </w:rPr>
  </w:style>
  <w:style w:type="character" w:customStyle="1" w:styleId="Heading1Char">
    <w:name w:val="Heading 1 Char"/>
    <w:basedOn w:val="DefaultParagraphFont"/>
    <w:link w:val="Heading1"/>
    <w:uiPriority w:val="9"/>
    <w:rsid w:val="001179FD"/>
    <w:rPr>
      <w:b/>
      <w:bCs/>
      <w:sz w:val="44"/>
      <w:szCs w:val="44"/>
    </w:rPr>
  </w:style>
  <w:style w:type="character" w:customStyle="1" w:styleId="Heading3Char">
    <w:name w:val="Heading 3 Char"/>
    <w:basedOn w:val="DefaultParagraphFont"/>
    <w:link w:val="Heading3"/>
    <w:uiPriority w:val="9"/>
    <w:rsid w:val="006B7253"/>
    <w:rPr>
      <w:rFonts w:ascii="Arial" w:eastAsiaTheme="majorEastAsia" w:hAnsi="Arial" w:cstheme="majorBidi"/>
      <w:b/>
      <w:szCs w:val="24"/>
      <w:u w:val="single"/>
    </w:rPr>
  </w:style>
  <w:style w:type="paragraph" w:styleId="Title">
    <w:name w:val="Title"/>
    <w:basedOn w:val="Normal"/>
    <w:next w:val="Normal"/>
    <w:link w:val="TitleChar"/>
    <w:uiPriority w:val="10"/>
    <w:qFormat/>
    <w:rsid w:val="001522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265"/>
    <w:rPr>
      <w:rFonts w:asciiTheme="majorHAnsi" w:eastAsiaTheme="majorEastAsia" w:hAnsiTheme="majorHAnsi" w:cstheme="majorBidi"/>
      <w:spacing w:val="-10"/>
      <w:kern w:val="28"/>
      <w:sz w:val="56"/>
      <w:szCs w:val="56"/>
    </w:rPr>
  </w:style>
  <w:style w:type="character" w:styleId="Hyperlink">
    <w:name w:val="Hyperlink"/>
    <w:basedOn w:val="DefaultParagraphFont"/>
    <w:uiPriority w:val="99"/>
    <w:unhideWhenUsed/>
    <w:rsid w:val="002D1A25"/>
    <w:rPr>
      <w:color w:val="0563C1" w:themeColor="hyperlink"/>
      <w:u w:val="single"/>
    </w:rPr>
  </w:style>
  <w:style w:type="character" w:customStyle="1" w:styleId="UnresolvedMention1">
    <w:name w:val="Unresolved Mention1"/>
    <w:basedOn w:val="DefaultParagraphFont"/>
    <w:uiPriority w:val="99"/>
    <w:semiHidden/>
    <w:unhideWhenUsed/>
    <w:rsid w:val="002D1A25"/>
    <w:rPr>
      <w:color w:val="605E5C"/>
      <w:shd w:val="clear" w:color="auto" w:fill="E1DFDD"/>
    </w:rPr>
  </w:style>
  <w:style w:type="character" w:styleId="CommentReference">
    <w:name w:val="annotation reference"/>
    <w:basedOn w:val="DefaultParagraphFont"/>
    <w:uiPriority w:val="99"/>
    <w:semiHidden/>
    <w:unhideWhenUsed/>
    <w:rsid w:val="00592565"/>
    <w:rPr>
      <w:sz w:val="16"/>
      <w:szCs w:val="16"/>
    </w:rPr>
  </w:style>
  <w:style w:type="paragraph" w:styleId="CommentText">
    <w:name w:val="annotation text"/>
    <w:basedOn w:val="Normal"/>
    <w:link w:val="CommentTextChar"/>
    <w:uiPriority w:val="99"/>
    <w:unhideWhenUsed/>
    <w:rsid w:val="00592565"/>
    <w:pPr>
      <w:spacing w:line="240" w:lineRule="auto"/>
    </w:pPr>
    <w:rPr>
      <w:sz w:val="20"/>
      <w:szCs w:val="20"/>
    </w:rPr>
  </w:style>
  <w:style w:type="character" w:customStyle="1" w:styleId="CommentTextChar">
    <w:name w:val="Comment Text Char"/>
    <w:basedOn w:val="DefaultParagraphFont"/>
    <w:link w:val="CommentText"/>
    <w:uiPriority w:val="99"/>
    <w:rsid w:val="00592565"/>
    <w:rPr>
      <w:sz w:val="20"/>
      <w:szCs w:val="20"/>
    </w:rPr>
  </w:style>
  <w:style w:type="paragraph" w:styleId="CommentSubject">
    <w:name w:val="annotation subject"/>
    <w:basedOn w:val="CommentText"/>
    <w:next w:val="CommentText"/>
    <w:link w:val="CommentSubjectChar"/>
    <w:uiPriority w:val="99"/>
    <w:semiHidden/>
    <w:unhideWhenUsed/>
    <w:rsid w:val="00592565"/>
    <w:rPr>
      <w:b/>
      <w:bCs/>
    </w:rPr>
  </w:style>
  <w:style w:type="character" w:customStyle="1" w:styleId="CommentSubjectChar">
    <w:name w:val="Comment Subject Char"/>
    <w:basedOn w:val="CommentTextChar"/>
    <w:link w:val="CommentSubject"/>
    <w:uiPriority w:val="99"/>
    <w:semiHidden/>
    <w:rsid w:val="00592565"/>
    <w:rPr>
      <w:b/>
      <w:bCs/>
      <w:sz w:val="20"/>
      <w:szCs w:val="20"/>
    </w:rPr>
  </w:style>
  <w:style w:type="paragraph" w:styleId="ListParagraph">
    <w:name w:val="List Paragraph"/>
    <w:basedOn w:val="Normal"/>
    <w:uiPriority w:val="1"/>
    <w:qFormat/>
    <w:rsid w:val="00694531"/>
    <w:pPr>
      <w:ind w:left="720"/>
    </w:pPr>
  </w:style>
  <w:style w:type="paragraph" w:customStyle="1" w:styleId="Default">
    <w:name w:val="Default"/>
    <w:rsid w:val="00DA50AB"/>
    <w:pPr>
      <w:autoSpaceDE w:val="0"/>
      <w:autoSpaceDN w:val="0"/>
      <w:adjustRightInd w:val="0"/>
      <w:spacing w:after="0" w:line="240" w:lineRule="auto"/>
    </w:pPr>
    <w:rPr>
      <w:rFonts w:ascii="Calibri" w:hAnsi="Calibri" w:cs="Calibri"/>
      <w:color w:val="000000"/>
      <w:sz w:val="24"/>
      <w:szCs w:val="24"/>
    </w:rPr>
  </w:style>
  <w:style w:type="table" w:customStyle="1" w:styleId="TableGridLight1">
    <w:name w:val="Table Grid Light1"/>
    <w:basedOn w:val="TableNormal"/>
    <w:uiPriority w:val="40"/>
    <w:rsid w:val="00C728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alloonText">
    <w:name w:val="Balloon Text"/>
    <w:basedOn w:val="Normal"/>
    <w:link w:val="BalloonTextChar"/>
    <w:uiPriority w:val="99"/>
    <w:semiHidden/>
    <w:unhideWhenUsed/>
    <w:rsid w:val="00A776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767F"/>
    <w:rPr>
      <w:rFonts w:ascii="Tahoma" w:hAnsi="Tahoma" w:cs="Tahoma"/>
      <w:sz w:val="16"/>
      <w:szCs w:val="16"/>
    </w:rPr>
  </w:style>
  <w:style w:type="character" w:styleId="UnresolvedMention">
    <w:name w:val="Unresolved Mention"/>
    <w:basedOn w:val="DefaultParagraphFont"/>
    <w:uiPriority w:val="99"/>
    <w:semiHidden/>
    <w:unhideWhenUsed/>
    <w:rsid w:val="00904B9E"/>
    <w:rPr>
      <w:color w:val="605E5C"/>
      <w:shd w:val="clear" w:color="auto" w:fill="E1DFDD"/>
    </w:rPr>
  </w:style>
  <w:style w:type="character" w:customStyle="1" w:styleId="Heading4Char">
    <w:name w:val="Heading 4 Char"/>
    <w:basedOn w:val="DefaultParagraphFont"/>
    <w:link w:val="Heading4"/>
    <w:uiPriority w:val="9"/>
    <w:rsid w:val="006B7253"/>
    <w:rPr>
      <w:rFonts w:ascii="Arial" w:eastAsiaTheme="majorEastAsia" w:hAnsi="Arial" w:cstheme="majorBidi"/>
      <w:b/>
      <w:iCs/>
    </w:rPr>
  </w:style>
  <w:style w:type="paragraph" w:styleId="Revision">
    <w:name w:val="Revision"/>
    <w:hidden/>
    <w:uiPriority w:val="99"/>
    <w:semiHidden/>
    <w:rsid w:val="00E41DC1"/>
    <w:pPr>
      <w:spacing w:after="0" w:line="240" w:lineRule="auto"/>
    </w:pPr>
    <w:rPr>
      <w:rFonts w:ascii="Arial" w:hAnsi="Arial"/>
    </w:rPr>
  </w:style>
  <w:style w:type="paragraph" w:styleId="TOCHeading">
    <w:name w:val="TOC Heading"/>
    <w:basedOn w:val="Heading1"/>
    <w:next w:val="Normal"/>
    <w:uiPriority w:val="39"/>
    <w:unhideWhenUsed/>
    <w:qFormat/>
    <w:rsid w:val="00BF174A"/>
    <w:pPr>
      <w:keepNext/>
      <w:keepLines/>
      <w:tabs>
        <w:tab w:val="clear" w:pos="10433"/>
      </w:tabs>
      <w:spacing w:before="240" w:line="259" w:lineRule="auto"/>
      <w:outlineLvl w:val="9"/>
    </w:pPr>
    <w:rPr>
      <w:rFonts w:asciiTheme="majorHAnsi" w:eastAsiaTheme="majorEastAsia" w:hAnsiTheme="majorHAnsi" w:cstheme="majorBidi"/>
      <w:b w:val="0"/>
      <w:bCs w:val="0"/>
      <w:color w:val="2F5496" w:themeColor="accent1" w:themeShade="BF"/>
      <w:sz w:val="32"/>
      <w:szCs w:val="32"/>
      <w:lang w:val="en-US"/>
    </w:rPr>
  </w:style>
  <w:style w:type="paragraph" w:styleId="TOC2">
    <w:name w:val="toc 2"/>
    <w:basedOn w:val="Normal"/>
    <w:next w:val="Normal"/>
    <w:autoRedefine/>
    <w:uiPriority w:val="39"/>
    <w:unhideWhenUsed/>
    <w:rsid w:val="00BF174A"/>
    <w:pPr>
      <w:spacing w:after="100"/>
      <w:ind w:left="220"/>
    </w:pPr>
  </w:style>
  <w:style w:type="paragraph" w:styleId="TOC3">
    <w:name w:val="toc 3"/>
    <w:basedOn w:val="Normal"/>
    <w:next w:val="Normal"/>
    <w:autoRedefine/>
    <w:uiPriority w:val="39"/>
    <w:unhideWhenUsed/>
    <w:rsid w:val="00BF174A"/>
    <w:pPr>
      <w:spacing w:after="100"/>
      <w:ind w:left="440"/>
    </w:pPr>
  </w:style>
  <w:style w:type="paragraph" w:styleId="BodyText">
    <w:name w:val="Body Text"/>
    <w:basedOn w:val="Normal"/>
    <w:link w:val="BodyTextChar"/>
    <w:uiPriority w:val="1"/>
    <w:qFormat/>
    <w:rsid w:val="0037246E"/>
    <w:pPr>
      <w:widowControl w:val="0"/>
      <w:autoSpaceDE w:val="0"/>
      <w:autoSpaceDN w:val="0"/>
      <w:spacing w:before="0" w:after="0" w:line="240" w:lineRule="auto"/>
    </w:pPr>
    <w:rPr>
      <w:rFonts w:eastAsia="Arial" w:cs="Arial"/>
      <w:lang w:eastAsia="en-GB" w:bidi="en-GB"/>
    </w:rPr>
  </w:style>
  <w:style w:type="character" w:customStyle="1" w:styleId="BodyTextChar">
    <w:name w:val="Body Text Char"/>
    <w:basedOn w:val="DefaultParagraphFont"/>
    <w:link w:val="BodyText"/>
    <w:uiPriority w:val="1"/>
    <w:rsid w:val="0037246E"/>
    <w:rPr>
      <w:rFonts w:ascii="Arial" w:eastAsia="Arial" w:hAnsi="Arial" w:cs="Arial"/>
      <w:lang w:eastAsia="en-GB" w:bidi="en-GB"/>
    </w:rPr>
  </w:style>
  <w:style w:type="paragraph" w:customStyle="1" w:styleId="TableParagraph">
    <w:name w:val="Table Paragraph"/>
    <w:basedOn w:val="Normal"/>
    <w:uiPriority w:val="1"/>
    <w:qFormat/>
    <w:rsid w:val="00210168"/>
    <w:pPr>
      <w:widowControl w:val="0"/>
      <w:autoSpaceDE w:val="0"/>
      <w:autoSpaceDN w:val="0"/>
      <w:spacing w:before="0" w:after="0" w:line="240" w:lineRule="auto"/>
      <w:ind w:left="107"/>
    </w:pPr>
    <w:rPr>
      <w:rFonts w:eastAsia="Arial" w:cs="Arial"/>
      <w:lang w:eastAsia="en-GB" w:bidi="en-GB"/>
    </w:rPr>
  </w:style>
  <w:style w:type="table" w:customStyle="1" w:styleId="TableGrid1">
    <w:name w:val="Table Grid1"/>
    <w:basedOn w:val="TableNormal"/>
    <w:next w:val="TableGrid"/>
    <w:uiPriority w:val="39"/>
    <w:rsid w:val="00DA5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A56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8C7656"/>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8C7656"/>
    <w:rPr>
      <w:rFonts w:ascii="Arial" w:hAnsi="Arial"/>
      <w:sz w:val="20"/>
      <w:szCs w:val="20"/>
    </w:rPr>
  </w:style>
  <w:style w:type="character" w:styleId="EndnoteReference">
    <w:name w:val="endnote reference"/>
    <w:basedOn w:val="DefaultParagraphFont"/>
    <w:uiPriority w:val="99"/>
    <w:semiHidden/>
    <w:unhideWhenUsed/>
    <w:rsid w:val="008C7656"/>
    <w:rPr>
      <w:vertAlign w:val="superscript"/>
    </w:rPr>
  </w:style>
  <w:style w:type="paragraph" w:styleId="FootnoteText">
    <w:name w:val="footnote text"/>
    <w:basedOn w:val="Normal"/>
    <w:link w:val="FootnoteTextChar"/>
    <w:uiPriority w:val="99"/>
    <w:semiHidden/>
    <w:unhideWhenUsed/>
    <w:rsid w:val="008C7656"/>
    <w:pPr>
      <w:spacing w:before="0" w:after="0" w:line="240" w:lineRule="auto"/>
    </w:pPr>
    <w:rPr>
      <w:sz w:val="20"/>
      <w:szCs w:val="20"/>
    </w:rPr>
  </w:style>
  <w:style w:type="character" w:customStyle="1" w:styleId="FootnoteTextChar">
    <w:name w:val="Footnote Text Char"/>
    <w:basedOn w:val="DefaultParagraphFont"/>
    <w:link w:val="FootnoteText"/>
    <w:uiPriority w:val="99"/>
    <w:semiHidden/>
    <w:rsid w:val="008C7656"/>
    <w:rPr>
      <w:rFonts w:ascii="Arial" w:hAnsi="Arial"/>
      <w:sz w:val="20"/>
      <w:szCs w:val="20"/>
    </w:rPr>
  </w:style>
  <w:style w:type="character" w:styleId="FootnoteReference">
    <w:name w:val="footnote reference"/>
    <w:basedOn w:val="DefaultParagraphFont"/>
    <w:uiPriority w:val="99"/>
    <w:semiHidden/>
    <w:unhideWhenUsed/>
    <w:rsid w:val="008C765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076">
      <w:bodyDiv w:val="1"/>
      <w:marLeft w:val="0"/>
      <w:marRight w:val="0"/>
      <w:marTop w:val="0"/>
      <w:marBottom w:val="0"/>
      <w:divBdr>
        <w:top w:val="none" w:sz="0" w:space="0" w:color="auto"/>
        <w:left w:val="none" w:sz="0" w:space="0" w:color="auto"/>
        <w:bottom w:val="none" w:sz="0" w:space="0" w:color="auto"/>
        <w:right w:val="none" w:sz="0" w:space="0" w:color="auto"/>
      </w:divBdr>
    </w:div>
    <w:div w:id="98724605">
      <w:bodyDiv w:val="1"/>
      <w:marLeft w:val="0"/>
      <w:marRight w:val="0"/>
      <w:marTop w:val="0"/>
      <w:marBottom w:val="0"/>
      <w:divBdr>
        <w:top w:val="none" w:sz="0" w:space="0" w:color="auto"/>
        <w:left w:val="none" w:sz="0" w:space="0" w:color="auto"/>
        <w:bottom w:val="none" w:sz="0" w:space="0" w:color="auto"/>
        <w:right w:val="none" w:sz="0" w:space="0" w:color="auto"/>
      </w:divBdr>
    </w:div>
    <w:div w:id="392434290">
      <w:bodyDiv w:val="1"/>
      <w:marLeft w:val="0"/>
      <w:marRight w:val="0"/>
      <w:marTop w:val="0"/>
      <w:marBottom w:val="0"/>
      <w:divBdr>
        <w:top w:val="none" w:sz="0" w:space="0" w:color="auto"/>
        <w:left w:val="none" w:sz="0" w:space="0" w:color="auto"/>
        <w:bottom w:val="none" w:sz="0" w:space="0" w:color="auto"/>
        <w:right w:val="none" w:sz="0" w:space="0" w:color="auto"/>
      </w:divBdr>
    </w:div>
    <w:div w:id="442118525">
      <w:bodyDiv w:val="1"/>
      <w:marLeft w:val="0"/>
      <w:marRight w:val="0"/>
      <w:marTop w:val="0"/>
      <w:marBottom w:val="0"/>
      <w:divBdr>
        <w:top w:val="none" w:sz="0" w:space="0" w:color="auto"/>
        <w:left w:val="none" w:sz="0" w:space="0" w:color="auto"/>
        <w:bottom w:val="none" w:sz="0" w:space="0" w:color="auto"/>
        <w:right w:val="none" w:sz="0" w:space="0" w:color="auto"/>
      </w:divBdr>
    </w:div>
    <w:div w:id="611598489">
      <w:bodyDiv w:val="1"/>
      <w:marLeft w:val="0"/>
      <w:marRight w:val="0"/>
      <w:marTop w:val="0"/>
      <w:marBottom w:val="0"/>
      <w:divBdr>
        <w:top w:val="none" w:sz="0" w:space="0" w:color="auto"/>
        <w:left w:val="none" w:sz="0" w:space="0" w:color="auto"/>
        <w:bottom w:val="none" w:sz="0" w:space="0" w:color="auto"/>
        <w:right w:val="none" w:sz="0" w:space="0" w:color="auto"/>
      </w:divBdr>
    </w:div>
    <w:div w:id="758213889">
      <w:bodyDiv w:val="1"/>
      <w:marLeft w:val="0"/>
      <w:marRight w:val="0"/>
      <w:marTop w:val="0"/>
      <w:marBottom w:val="0"/>
      <w:divBdr>
        <w:top w:val="none" w:sz="0" w:space="0" w:color="auto"/>
        <w:left w:val="none" w:sz="0" w:space="0" w:color="auto"/>
        <w:bottom w:val="none" w:sz="0" w:space="0" w:color="auto"/>
        <w:right w:val="none" w:sz="0" w:space="0" w:color="auto"/>
      </w:divBdr>
    </w:div>
    <w:div w:id="788476080">
      <w:bodyDiv w:val="1"/>
      <w:marLeft w:val="0"/>
      <w:marRight w:val="0"/>
      <w:marTop w:val="0"/>
      <w:marBottom w:val="0"/>
      <w:divBdr>
        <w:top w:val="none" w:sz="0" w:space="0" w:color="auto"/>
        <w:left w:val="none" w:sz="0" w:space="0" w:color="auto"/>
        <w:bottom w:val="none" w:sz="0" w:space="0" w:color="auto"/>
        <w:right w:val="none" w:sz="0" w:space="0" w:color="auto"/>
      </w:divBdr>
    </w:div>
    <w:div w:id="831526969">
      <w:bodyDiv w:val="1"/>
      <w:marLeft w:val="0"/>
      <w:marRight w:val="0"/>
      <w:marTop w:val="0"/>
      <w:marBottom w:val="0"/>
      <w:divBdr>
        <w:top w:val="none" w:sz="0" w:space="0" w:color="auto"/>
        <w:left w:val="none" w:sz="0" w:space="0" w:color="auto"/>
        <w:bottom w:val="none" w:sz="0" w:space="0" w:color="auto"/>
        <w:right w:val="none" w:sz="0" w:space="0" w:color="auto"/>
      </w:divBdr>
    </w:div>
    <w:div w:id="967393288">
      <w:bodyDiv w:val="1"/>
      <w:marLeft w:val="0"/>
      <w:marRight w:val="0"/>
      <w:marTop w:val="0"/>
      <w:marBottom w:val="0"/>
      <w:divBdr>
        <w:top w:val="none" w:sz="0" w:space="0" w:color="auto"/>
        <w:left w:val="none" w:sz="0" w:space="0" w:color="auto"/>
        <w:bottom w:val="none" w:sz="0" w:space="0" w:color="auto"/>
        <w:right w:val="none" w:sz="0" w:space="0" w:color="auto"/>
      </w:divBdr>
    </w:div>
    <w:div w:id="1046831858">
      <w:bodyDiv w:val="1"/>
      <w:marLeft w:val="0"/>
      <w:marRight w:val="0"/>
      <w:marTop w:val="0"/>
      <w:marBottom w:val="0"/>
      <w:divBdr>
        <w:top w:val="none" w:sz="0" w:space="0" w:color="auto"/>
        <w:left w:val="none" w:sz="0" w:space="0" w:color="auto"/>
        <w:bottom w:val="none" w:sz="0" w:space="0" w:color="auto"/>
        <w:right w:val="none" w:sz="0" w:space="0" w:color="auto"/>
      </w:divBdr>
    </w:div>
    <w:div w:id="1260218562">
      <w:bodyDiv w:val="1"/>
      <w:marLeft w:val="0"/>
      <w:marRight w:val="0"/>
      <w:marTop w:val="0"/>
      <w:marBottom w:val="0"/>
      <w:divBdr>
        <w:top w:val="none" w:sz="0" w:space="0" w:color="auto"/>
        <w:left w:val="none" w:sz="0" w:space="0" w:color="auto"/>
        <w:bottom w:val="none" w:sz="0" w:space="0" w:color="auto"/>
        <w:right w:val="none" w:sz="0" w:space="0" w:color="auto"/>
      </w:divBdr>
    </w:div>
    <w:div w:id="1312754261">
      <w:bodyDiv w:val="1"/>
      <w:marLeft w:val="0"/>
      <w:marRight w:val="0"/>
      <w:marTop w:val="0"/>
      <w:marBottom w:val="0"/>
      <w:divBdr>
        <w:top w:val="none" w:sz="0" w:space="0" w:color="auto"/>
        <w:left w:val="none" w:sz="0" w:space="0" w:color="auto"/>
        <w:bottom w:val="none" w:sz="0" w:space="0" w:color="auto"/>
        <w:right w:val="none" w:sz="0" w:space="0" w:color="auto"/>
      </w:divBdr>
    </w:div>
    <w:div w:id="1434281738">
      <w:bodyDiv w:val="1"/>
      <w:marLeft w:val="0"/>
      <w:marRight w:val="0"/>
      <w:marTop w:val="0"/>
      <w:marBottom w:val="0"/>
      <w:divBdr>
        <w:top w:val="none" w:sz="0" w:space="0" w:color="auto"/>
        <w:left w:val="none" w:sz="0" w:space="0" w:color="auto"/>
        <w:bottom w:val="none" w:sz="0" w:space="0" w:color="auto"/>
        <w:right w:val="none" w:sz="0" w:space="0" w:color="auto"/>
      </w:divBdr>
    </w:div>
    <w:div w:id="1468887476">
      <w:bodyDiv w:val="1"/>
      <w:marLeft w:val="0"/>
      <w:marRight w:val="0"/>
      <w:marTop w:val="0"/>
      <w:marBottom w:val="0"/>
      <w:divBdr>
        <w:top w:val="none" w:sz="0" w:space="0" w:color="auto"/>
        <w:left w:val="none" w:sz="0" w:space="0" w:color="auto"/>
        <w:bottom w:val="none" w:sz="0" w:space="0" w:color="auto"/>
        <w:right w:val="none" w:sz="0" w:space="0" w:color="auto"/>
      </w:divBdr>
      <w:divsChild>
        <w:div w:id="2101481922">
          <w:marLeft w:val="0"/>
          <w:marRight w:val="0"/>
          <w:marTop w:val="480"/>
          <w:marBottom w:val="480"/>
          <w:divBdr>
            <w:top w:val="none" w:sz="0" w:space="0" w:color="auto"/>
            <w:left w:val="none" w:sz="0" w:space="0" w:color="auto"/>
            <w:bottom w:val="none" w:sz="0" w:space="0" w:color="auto"/>
            <w:right w:val="none" w:sz="0" w:space="0" w:color="auto"/>
          </w:divBdr>
        </w:div>
      </w:divsChild>
    </w:div>
    <w:div w:id="1583103760">
      <w:bodyDiv w:val="1"/>
      <w:marLeft w:val="0"/>
      <w:marRight w:val="0"/>
      <w:marTop w:val="0"/>
      <w:marBottom w:val="0"/>
      <w:divBdr>
        <w:top w:val="none" w:sz="0" w:space="0" w:color="auto"/>
        <w:left w:val="none" w:sz="0" w:space="0" w:color="auto"/>
        <w:bottom w:val="none" w:sz="0" w:space="0" w:color="auto"/>
        <w:right w:val="none" w:sz="0" w:space="0" w:color="auto"/>
      </w:divBdr>
    </w:div>
    <w:div w:id="1733887725">
      <w:bodyDiv w:val="1"/>
      <w:marLeft w:val="0"/>
      <w:marRight w:val="0"/>
      <w:marTop w:val="0"/>
      <w:marBottom w:val="0"/>
      <w:divBdr>
        <w:top w:val="none" w:sz="0" w:space="0" w:color="auto"/>
        <w:left w:val="none" w:sz="0" w:space="0" w:color="auto"/>
        <w:bottom w:val="none" w:sz="0" w:space="0" w:color="auto"/>
        <w:right w:val="none" w:sz="0" w:space="0" w:color="auto"/>
      </w:divBdr>
    </w:div>
    <w:div w:id="1868445490">
      <w:bodyDiv w:val="1"/>
      <w:marLeft w:val="0"/>
      <w:marRight w:val="0"/>
      <w:marTop w:val="0"/>
      <w:marBottom w:val="0"/>
      <w:divBdr>
        <w:top w:val="none" w:sz="0" w:space="0" w:color="auto"/>
        <w:left w:val="none" w:sz="0" w:space="0" w:color="auto"/>
        <w:bottom w:val="none" w:sz="0" w:space="0" w:color="auto"/>
        <w:right w:val="none" w:sz="0" w:space="0" w:color="auto"/>
      </w:divBdr>
    </w:div>
    <w:div w:id="1890533152">
      <w:bodyDiv w:val="1"/>
      <w:marLeft w:val="0"/>
      <w:marRight w:val="0"/>
      <w:marTop w:val="0"/>
      <w:marBottom w:val="0"/>
      <w:divBdr>
        <w:top w:val="none" w:sz="0" w:space="0" w:color="auto"/>
        <w:left w:val="none" w:sz="0" w:space="0" w:color="auto"/>
        <w:bottom w:val="none" w:sz="0" w:space="0" w:color="auto"/>
        <w:right w:val="none" w:sz="0" w:space="0" w:color="auto"/>
      </w:divBdr>
    </w:div>
    <w:div w:id="2113821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nf.nice.org.uk/" TargetMode="External"/><Relationship Id="rId18" Type="http://schemas.openxmlformats.org/officeDocument/2006/relationships/hyperlink" Target="https://www.gmc-uk.org/ethical-guidance/ethical-guidance-for-doctors/good-practice-in-prescribing-and-managing-medicines-and-devices/shared-care" TargetMode="External"/><Relationship Id="rId3" Type="http://schemas.openxmlformats.org/officeDocument/2006/relationships/customXml" Target="../customXml/item3.xml"/><Relationship Id="rId21" Type="http://schemas.openxmlformats.org/officeDocument/2006/relationships/hyperlink" Target="https://strwebprdmedia.blob.core.windows.net/media/hijjivbe/drug-treatments-for-osteoporosis-denosumab.pdf" TargetMode="External"/><Relationship Id="rId7" Type="http://schemas.openxmlformats.org/officeDocument/2006/relationships/settings" Target="settings.xml"/><Relationship Id="rId12" Type="http://schemas.openxmlformats.org/officeDocument/2006/relationships/hyperlink" Target="http://www.medicines.org.uk/emc" TargetMode="External"/><Relationship Id="rId17" Type="http://schemas.openxmlformats.org/officeDocument/2006/relationships/hyperlink" Target="https://www.england.nhs.uk/publication/responsibility-for-prescribing-between-primary-and-secondary-tertiary-car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heros.org.uk/information-and-support/osteoporosis/treatment/denosumab/" TargetMode="External"/><Relationship Id="rId20" Type="http://schemas.openxmlformats.org/officeDocument/2006/relationships/hyperlink" Target="https://theros.org.uk/information-and-support/osteoporosis/treatment/denosumab/"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mhra.gov.uk/yellowcard"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ice.org.uk/guidance/ng197/"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heros.org.uk/information-and-support/osteoporosis/treatment/denosumab/"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4f4eeb-df76-44f1-adb7-33eb05f2d86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ECA760FA27D1440AD7AD63A0820EE9F" ma:contentTypeVersion="8" ma:contentTypeDescription="Create a new document." ma:contentTypeScope="" ma:versionID="9039523717eaeea37ab3e82e995cd2fc">
  <xsd:schema xmlns:xsd="http://www.w3.org/2001/XMLSchema" xmlns:xs="http://www.w3.org/2001/XMLSchema" xmlns:p="http://schemas.microsoft.com/office/2006/metadata/properties" xmlns:ns3="2e4f4eeb-df76-44f1-adb7-33eb05f2d865" targetNamespace="http://schemas.microsoft.com/office/2006/metadata/properties" ma:root="true" ma:fieldsID="3daf0374d86b277905cfa74c61f6c468" ns3:_="">
    <xsd:import namespace="2e4f4eeb-df76-44f1-adb7-33eb05f2d8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4f4eeb-df76-44f1-adb7-33eb05f2d8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F89DA-698B-430F-9822-AD922465335C}">
  <ds:schemaRefs>
    <ds:schemaRef ds:uri="http://schemas.microsoft.com/office/2006/metadata/properties"/>
    <ds:schemaRef ds:uri="http://schemas.microsoft.com/office/infopath/2007/PartnerControls"/>
    <ds:schemaRef ds:uri="2e4f4eeb-df76-44f1-adb7-33eb05f2d865"/>
  </ds:schemaRefs>
</ds:datastoreItem>
</file>

<file path=customXml/itemProps2.xml><?xml version="1.0" encoding="utf-8"?>
<ds:datastoreItem xmlns:ds="http://schemas.openxmlformats.org/officeDocument/2006/customXml" ds:itemID="{D419C135-91C6-49C7-B37B-958ED4A0E9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4f4eeb-df76-44f1-adb7-33eb05f2d8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6AB882-76C8-4C3A-80F2-A88BAF8090B7}">
  <ds:schemaRefs>
    <ds:schemaRef ds:uri="http://schemas.microsoft.com/sharepoint/v3/contenttype/forms"/>
  </ds:schemaRefs>
</ds:datastoreItem>
</file>

<file path=customXml/itemProps4.xml><?xml version="1.0" encoding="utf-8"?>
<ds:datastoreItem xmlns:ds="http://schemas.openxmlformats.org/officeDocument/2006/customXml" ds:itemID="{093E9162-DEC7-44E8-8273-8CB87F1B73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14</Pages>
  <Words>4287</Words>
  <Characters>24441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RLBUHT</Company>
  <LinksUpToDate>false</LinksUpToDate>
  <CharactersWithSpaces>28671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Donlon Kieron (MLCSU)</dc:creator>
  <cp:lastModifiedBy>MANKIN, Gavin (THE NEWCASTLE UPON TYNE HOSPITALS NHS FOUNDATION TRUST)</cp:lastModifiedBy>
  <cp:revision>18</cp:revision>
  <cp:lastPrinted>2022-03-11T14:19:00Z</cp:lastPrinted>
  <dcterms:created xsi:type="dcterms:W3CDTF">2025-05-22T10:48:00Z</dcterms:created>
  <dcterms:modified xsi:type="dcterms:W3CDTF">2025-06-03T12:16:00Z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0x0101008ECA760FA27D1440AD7AD63A0820EE9F</vt:lpwstr>
  </property>
  <property fmtid="{D5CDD505-2E9C-101B-9397-08002B2CF9AE}" pid="3" name="_dlc_DocIdItemGuid">
    <vt:lpwstr>51b1480d-bcbe-4409-8965-5d4ba7a1fe1a</vt:lpwstr>
  </property>
</Properties>
</file>